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27" w:rsidRPr="00810F27" w:rsidRDefault="00810F27" w:rsidP="00810F27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810F27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Раскрытие информации АКБ «Трансстройбанк» (АО) как профессионального участника рынка ценных бумаг.</w:t>
      </w:r>
    </w:p>
    <w:p w:rsidR="00810F27" w:rsidRPr="00810F27" w:rsidRDefault="00810F27" w:rsidP="00810F27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810F27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 </w:t>
      </w:r>
    </w:p>
    <w:p w:rsidR="00810F27" w:rsidRPr="00810F27" w:rsidRDefault="00810F27" w:rsidP="00810F27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810F27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В разделе публикуется информация о АКБ «Трансстройбанк»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:rsidR="00604400" w:rsidRDefault="00604400" w:rsidP="00604400">
      <w:pPr>
        <w:pStyle w:val="a3"/>
        <w:shd w:val="clear" w:color="auto" w:fill="F9FBFB"/>
        <w:spacing w:before="150" w:beforeAutospacing="0" w:after="150" w:afterAutospacing="0"/>
        <w:rPr>
          <w:rFonts w:ascii="RF Dewi" w:hAnsi="RF Dewi"/>
          <w:color w:val="202020"/>
          <w:spacing w:val="2"/>
        </w:rPr>
      </w:pPr>
      <w:r>
        <w:rPr>
          <w:rFonts w:ascii="RF Dewi" w:hAnsi="RF Dewi"/>
          <w:color w:val="202020"/>
          <w:spacing w:val="2"/>
        </w:rPr>
        <w:br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4793"/>
        <w:gridCol w:w="3947"/>
      </w:tblGrid>
      <w:tr w:rsidR="00604400" w:rsidTr="00604400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№</w:t>
            </w:r>
          </w:p>
        </w:tc>
        <w:tc>
          <w:tcPr>
            <w:tcW w:w="1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b/>
                <w:bCs/>
                <w:color w:val="202020"/>
                <w:spacing w:val="2"/>
              </w:rPr>
              <w:t>Информация профессионального участника, подлежащая обязательному раскрытию: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 </w:t>
            </w:r>
          </w:p>
        </w:tc>
      </w:tr>
      <w:tr w:rsidR="00604400" w:rsidTr="0060440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4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Раздел 1. Информация о профессиональном участнике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b/>
                <w:bCs/>
                <w:color w:val="202020"/>
                <w:spacing w:val="2"/>
              </w:rPr>
              <w:t>Реквизиты профессионального участника</w:t>
            </w:r>
          </w:p>
        </w:tc>
      </w:tr>
      <w:tr w:rsidR="00604400" w:rsidRP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Полное и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сокращенное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(при наличии) фирменное наименование профессионального участника - юридического лица на русском и иностранном (при наличии) языке (фамилия, имя, отчество (при наличии) профессионального участника - индивидуального предпринимателя)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Акционерный коммерческий банк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Трансстройбанк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(Акционерное 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общество)/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АКБ «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Трансстройбанк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>» (АО)</w:t>
            </w:r>
          </w:p>
          <w:p w:rsidR="00604400" w:rsidRP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  <w:lang w:val="en-US"/>
              </w:rPr>
            </w:pPr>
            <w:r w:rsidRPr="00604400">
              <w:rPr>
                <w:rFonts w:ascii="RF Dewi" w:hAnsi="RF Dewi"/>
                <w:color w:val="202020"/>
                <w:spacing w:val="2"/>
                <w:lang w:val="en-US"/>
              </w:rPr>
              <w:t>Joint Stock Commercial Bank «</w:t>
            </w:r>
            <w:proofErr w:type="spellStart"/>
            <w:r w:rsidRPr="00604400">
              <w:rPr>
                <w:rFonts w:ascii="RF Dewi" w:hAnsi="RF Dewi"/>
                <w:color w:val="202020"/>
                <w:spacing w:val="2"/>
                <w:lang w:val="en-US"/>
              </w:rPr>
              <w:t>Transstroibank</w:t>
            </w:r>
            <w:proofErr w:type="spellEnd"/>
            <w:r w:rsidRPr="00604400">
              <w:rPr>
                <w:rFonts w:ascii="RF Dewi" w:hAnsi="RF Dewi"/>
                <w:color w:val="202020"/>
                <w:spacing w:val="2"/>
                <w:lang w:val="en-US"/>
              </w:rPr>
              <w:t>» (Joint Stock Company) / «</w:t>
            </w:r>
            <w:proofErr w:type="spellStart"/>
            <w:r w:rsidRPr="00604400">
              <w:rPr>
                <w:rFonts w:ascii="RF Dewi" w:hAnsi="RF Dewi"/>
                <w:color w:val="202020"/>
                <w:spacing w:val="2"/>
                <w:lang w:val="en-US"/>
              </w:rPr>
              <w:t>Transstroibank</w:t>
            </w:r>
            <w:proofErr w:type="spellEnd"/>
            <w:r w:rsidRPr="00604400">
              <w:rPr>
                <w:rFonts w:ascii="RF Dewi" w:hAnsi="RF Dewi"/>
                <w:color w:val="202020"/>
                <w:spacing w:val="2"/>
                <w:lang w:val="en-US"/>
              </w:rPr>
              <w:t>»</w:t>
            </w:r>
          </w:p>
          <w:p w:rsidR="00604400" w:rsidRPr="00604400" w:rsidRDefault="00604400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  <w:lang w:val="en-US"/>
              </w:rPr>
            </w:pPr>
            <w:r w:rsidRPr="00604400">
              <w:rPr>
                <w:rFonts w:ascii="RF Dewi" w:hAnsi="RF Dewi"/>
                <w:color w:val="202020"/>
                <w:spacing w:val="2"/>
                <w:lang w:val="en-US"/>
              </w:rPr>
              <w:t> 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Номер и дата выдачи лицензии на осуществление профессиональной деятельности на рынке ценных бумаг (дата внесения сведений о юридическом лице (индивидуальном предпринимателе) в единый реестр инвестиционных советников)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Лицензия профессионального участника рынка ценных бумаг на осуществление дилерской деятельности № 045-10552-010000, выдана 20.09.2007</w:t>
            </w:r>
          </w:p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Лицензия профессионального участника рынка ценных бумаг на осуществление брокерской деятельности № 045-10550-100000, выдана 20.09.2007</w:t>
            </w:r>
          </w:p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Лицензия профессионального участника рынка ценных бумаг на осуществление депозитарной деятельности № 045-14072-000100, выдана 03.07.2019</w:t>
            </w:r>
          </w:p>
          <w:p w:rsidR="00604400" w:rsidRDefault="00604400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 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Идентификационный номер налогоплательщика (далее - ИНН) профессионального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7730059592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Основной государственный регистрационный номер (далее - ОГРН) профессионального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1027739582089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Адрес профессионального участника в пределах места нахождения профессионального участника, указанный в ЕГРЮЛ (наименование субъекта Российской Федерации, в котором индивидуальный предприниматель зарегистрирован по месту жительства, указанное в ЕГРИП)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115093, г. Москва, ул. Дубининская, д.94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Номер телефона, факса (при наличии факса) профессионального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+7 (495) 786-37-73</w:t>
            </w:r>
          </w:p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+7 (495) 786-26-08 (факс)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об официальных сайтах, а также (при наличии) об аккаунтах в социальных сетях, на которых профессиональный участник предлагает услуги профессионального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4" w:history="1"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http://www.transstroibank.ru</w:t>
              </w:r>
            </w:hyperlink>
          </w:p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5" w:history="1"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http://www.transstroybank.ru</w:t>
              </w:r>
            </w:hyperlink>
          </w:p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6" w:history="1"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http://www.tsbnk.ru</w:t>
              </w:r>
            </w:hyperlink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Адрес электронной почты профессионального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7" w:history="1"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tsbank@transstroibank.ru</w:t>
              </w:r>
            </w:hyperlink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Банковские реквизиты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расчетного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счета и (или) корреспондентского счета (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субсчета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>) (при его наличии) для оплаты расходов за изготовление документов, представляемых профессиональным участником своим клиентам (зарегистрированным лицам), на бумажном носителе в случаях, предусмотренных законодательством Российской Федерации о рынке ценных бумаг, с указанием порядка оплаты и размера (порядка определения размера) указанных расходов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Плата за изготовление документов, представляемых профессиональным участником своим клиентам (зарегистрированным лицам), на бумажном носителе в случаях, предусмотренных законодательством Российской Федерации о рынке ценных бумаг, согласно действующим тарифам профессионального участника не взимается.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Фамилия, имя, отчество (при наличии), дата избрания (назначения) на должность (возложения функций), сведения о работе по совместительству (при наличии), сведения об опыте работы в кредитных организациях и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lastRenderedPageBreak/>
              <w:t>некредитных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финансовых организациях за последние три года (в том числе о членстве в совете директоров (наблюдательном совете) (при наличии) и наименования должностей следующих лиц, включая лиц, временно исполняющих обязанности в течение более чем двух месяцев (далее - ВРИО), при их наличии:</w:t>
            </w:r>
            <w:r>
              <w:rPr>
                <w:rFonts w:ascii="RF Dewi" w:hAnsi="RF Dewi"/>
                <w:color w:val="202020"/>
                <w:spacing w:val="2"/>
              </w:rPr>
              <w:br/>
              <w:t>лица, осуществляющего функции единоличного исполнительного органа профессионального участника;</w:t>
            </w:r>
            <w:r>
              <w:rPr>
                <w:rFonts w:ascii="RF Dewi" w:hAnsi="RF Dewi"/>
                <w:color w:val="202020"/>
                <w:spacing w:val="2"/>
              </w:rPr>
              <w:br/>
              <w:t xml:space="preserve">лица, осуществляющего функции внутреннего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контролера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(руководителя службы внутреннего контроля) профессионального участника;</w:t>
            </w:r>
            <w:r>
              <w:rPr>
                <w:rFonts w:ascii="RF Dewi" w:hAnsi="RF Dewi"/>
                <w:color w:val="202020"/>
                <w:spacing w:val="2"/>
              </w:rPr>
              <w:br/>
              <w:t>внутреннего аудитора (руководителя службы внутреннего аудита) профессионального участника;</w:t>
            </w:r>
            <w:r>
              <w:rPr>
                <w:rFonts w:ascii="RF Dewi" w:hAnsi="RF Dewi"/>
                <w:color w:val="202020"/>
                <w:spacing w:val="2"/>
              </w:rPr>
              <w:br/>
              <w:t>должностного лица, ответственного за организацию системы управления рисками (руководителя отдельного структурного подразделения, ответственного за организацию системы управления рисками) профессионального участника;</w:t>
            </w:r>
            <w:r>
              <w:rPr>
                <w:rFonts w:ascii="RF Dewi" w:hAnsi="RF Dewi"/>
                <w:color w:val="202020"/>
                <w:spacing w:val="2"/>
              </w:rPr>
              <w:br/>
              <w:t>членов совета директоров (наблюдательного совета) профессионального участника;</w:t>
            </w:r>
            <w:r>
              <w:rPr>
                <w:rFonts w:ascii="RF Dewi" w:hAnsi="RF Dewi"/>
                <w:color w:val="202020"/>
                <w:spacing w:val="2"/>
              </w:rPr>
              <w:br/>
              <w:t>членов коллегиального исполнительного органа профессионального участника.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lastRenderedPageBreak/>
              <w:t xml:space="preserve">Информация о членах совета директоров, лице, занимающем должность единоличного исполнительного органа, членах коллегиального исполнительного органа не </w:t>
            </w:r>
            <w:r>
              <w:rPr>
                <w:rFonts w:ascii="RF Dewi" w:hAnsi="RF Dewi"/>
                <w:color w:val="202020"/>
                <w:spacing w:val="2"/>
              </w:rPr>
              <w:lastRenderedPageBreak/>
              <w:t xml:space="preserve">раскрывается в соответствии с Решением Совета директоров Банка России от 22.12.2023 «Об определении перечня информации кредитных организаций,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некредитных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финансовых организаций, а также организаций, оказывающих профессиональные услуги на финансовом рынке, подлежащей раскрытию в соответствии с законодательством Российской Федерации или нормативными актами Банка России, которую кредитные организации,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некредитные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финансовые организации, а также организации, оказывающие профессиональные услуги на финансовом рынке, вправе не раскрывать с 1 января 2024 года до 31 декабря 2024 года включительно, и перечня информации, предусмотренной законодательством Российской Федерации или нормативными актами Банка России, которую Банк России не раскрывает на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своем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официальном сайте в информационно-телекоммуникационной сети "Интернет" с 1 января 2024 года до 31 декабря 2024 года включительно».</w:t>
            </w:r>
          </w:p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b/>
                <w:bCs/>
                <w:color w:val="202020"/>
                <w:spacing w:val="2"/>
              </w:rPr>
              <w:t xml:space="preserve">Лицо, осуществляющее функции внутреннего </w:t>
            </w:r>
            <w:proofErr w:type="spellStart"/>
            <w:r>
              <w:rPr>
                <w:rFonts w:ascii="RF Dewi" w:hAnsi="RF Dewi"/>
                <w:b/>
                <w:bCs/>
                <w:color w:val="202020"/>
                <w:spacing w:val="2"/>
              </w:rPr>
              <w:t>контролера</w:t>
            </w:r>
            <w:proofErr w:type="spellEnd"/>
            <w:r>
              <w:rPr>
                <w:rFonts w:ascii="RF Dewi" w:hAnsi="RF Dewi"/>
                <w:b/>
                <w:bCs/>
                <w:color w:val="202020"/>
                <w:spacing w:val="2"/>
              </w:rPr>
              <w:t xml:space="preserve"> профессионального участника:</w:t>
            </w:r>
          </w:p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Галкин Дмитрий 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Сергеевич,</w:t>
            </w:r>
            <w:r>
              <w:rPr>
                <w:rFonts w:ascii="RF Dewi" w:hAnsi="RF Dewi"/>
                <w:color w:val="202020"/>
                <w:spacing w:val="2"/>
              </w:rPr>
              <w:br/>
              <w:t>с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13.08.2018 по настоящее время –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Контролер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профессионального участника рынка ценных бумаг.</w:t>
            </w:r>
          </w:p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b/>
                <w:bCs/>
                <w:color w:val="202020"/>
                <w:spacing w:val="2"/>
              </w:rPr>
              <w:t>Лицо, осуществляющее функции внутреннего аудитора (руководителя службы внутреннего аудита) профессионального участника:</w:t>
            </w:r>
          </w:p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Шведова Наталья 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Михайловна,</w:t>
            </w:r>
            <w:r>
              <w:rPr>
                <w:rFonts w:ascii="RF Dewi" w:hAnsi="RF Dewi"/>
                <w:color w:val="202020"/>
                <w:spacing w:val="2"/>
              </w:rPr>
              <w:br/>
              <w:t>с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09.08.2021 по настоящее время </w:t>
            </w:r>
            <w:r>
              <w:rPr>
                <w:rFonts w:ascii="RF Dewi" w:hAnsi="RF Dewi"/>
                <w:color w:val="202020"/>
                <w:spacing w:val="2"/>
              </w:rPr>
              <w:lastRenderedPageBreak/>
              <w:t>- Начальник Службы внутреннего аудита,</w:t>
            </w:r>
            <w:r>
              <w:rPr>
                <w:rFonts w:ascii="RF Dewi" w:hAnsi="RF Dewi"/>
                <w:color w:val="202020"/>
                <w:spacing w:val="2"/>
              </w:rPr>
              <w:br/>
              <w:t>с 08.01.2016 по 09.08.2021 – Начальник Службы внутреннего контроля.</w:t>
            </w:r>
          </w:p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b/>
                <w:bCs/>
                <w:color w:val="202020"/>
                <w:spacing w:val="2"/>
              </w:rPr>
              <w:t>Лицо, ответственное за организацию системы управления рисками (руководителя отдельного структурного подразделения, ответственного за организацию системы управления рисками) профессионального участника:</w:t>
            </w:r>
          </w:p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Гринина Наталья 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Владимировна,</w:t>
            </w:r>
            <w:r>
              <w:rPr>
                <w:rFonts w:ascii="RF Dewi" w:hAnsi="RF Dewi"/>
                <w:color w:val="202020"/>
                <w:spacing w:val="2"/>
              </w:rPr>
              <w:br/>
              <w:t>с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18.10.2021 по настоящее время - Начальник Управления финансового анализа и риск-менеджмента,</w:t>
            </w:r>
            <w:r>
              <w:rPr>
                <w:rFonts w:ascii="RF Dewi" w:hAnsi="RF Dewi"/>
                <w:color w:val="202020"/>
                <w:spacing w:val="2"/>
              </w:rPr>
              <w:br/>
              <w:t>с 01.03.2021 по 18.10.2021 – Заместитель Начальника Управления финансового анализа и риск-менеджмента.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Информация о приостановлении действия лицензий на осуществление профессиональной деятельности на рынке ценных бумаг с указанием даты, с которой приостанавливается лицензия на осуществление профессиональной деятельности на рынке ценных бумаг, срока и причин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ее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Факты приостановления действия лицензий на осуществление профессиональной деятельности на рынке ценных бумаг отсутствуют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 возобновлении действия лицензий на осуществление профессиональной деятельности на рынке ценных бумаг с указанием даты возобновления действия лицензий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Факты возобновления действия лицензий на осуществление профессиональной деятельности на рынке ценных бумаг отсутствуют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Информация о принятии профессиональным участником решения о направлении в Банк России заявления об аннулировании лицензии на осуществление профессиональной деятельности на рынке ценных бумаг (заявления об исключении сведений об </w:t>
            </w:r>
            <w:r>
              <w:rPr>
                <w:rFonts w:ascii="RF Dewi" w:hAnsi="RF Dewi"/>
                <w:color w:val="202020"/>
                <w:spacing w:val="2"/>
              </w:rPr>
              <w:lastRenderedPageBreak/>
              <w:t>инвестиционном советнике из единого реестра инвестиционных советников)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lastRenderedPageBreak/>
              <w:t xml:space="preserve">Факты принятии профессиональным участником решений о направлении в Банк России заявления об аннулировании лицензий на осуществление профессиональной деятельности </w:t>
            </w:r>
            <w:r>
              <w:rPr>
                <w:rFonts w:ascii="RF Dewi" w:hAnsi="RF Dewi"/>
                <w:color w:val="202020"/>
                <w:spacing w:val="2"/>
              </w:rPr>
              <w:lastRenderedPageBreak/>
              <w:t>на рынке ценных бумаг отсутствуют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об аннулировании лицензии на осуществление профессиональной деятельности на рынке ценных бумаг (исключении сведений об инвестиционном советнике из единого реестра инвестиционных советников)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Факты аннулирования лицензий на осуществление профессиональной деятельности на рынке ценных бумаг отсутствуют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Информация о членстве профессионального участника в саморегулируемых организациях в сфере финансового рынка, объединяющих профессиональных участников (далее - СРО), с 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указанием:</w:t>
            </w:r>
            <w:r>
              <w:rPr>
                <w:rFonts w:ascii="RF Dewi" w:hAnsi="RF Dewi"/>
                <w:color w:val="202020"/>
                <w:spacing w:val="2"/>
              </w:rPr>
              <w:br/>
              <w:t>полного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и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сокращенного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(при наличии) наименования СРО и даты вступления профессионального участника в СРО;</w:t>
            </w:r>
            <w:r>
              <w:rPr>
                <w:rFonts w:ascii="RF Dewi" w:hAnsi="RF Dewi"/>
                <w:color w:val="202020"/>
                <w:spacing w:val="2"/>
              </w:rPr>
              <w:br/>
              <w:t>даты прекращения членства профессионального участника в СРО и причины его прекращения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Член Саморегулируемой организации Национальная ассоциация участников фондового рынка (НАУФОР) с 30 августа 2023 года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 филиалах профессионального участника, в функции которых входит осуществление профессиональной деятельности на рынке ценных бумаг, и (или) представительствах профессионального участника, представляющих интересы профессионального участника в рамках профессиональной деятельности на рынке ценных бумаг и осуществляющих их защиту (при наличии), с указанием наименования таких филиалов и представительств (при наличии), их адреса, номера телефона, факса (при наличии факса)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Филиалы и представительства отсутствуют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Информация о местах, предназначенных для заключения договора об оказании профессиональным участником услуг на рынке ценных бумаг,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приема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документов, связанных с оказанием таких услуг, с указанием адреса и (или) номера телефона, по которому можно получить информацию о возможности заключения указанного договора, и (или) времени, когда возможно </w:t>
            </w:r>
            <w:r>
              <w:rPr>
                <w:rFonts w:ascii="RF Dewi" w:hAnsi="RF Dewi"/>
                <w:color w:val="202020"/>
                <w:spacing w:val="2"/>
              </w:rPr>
              <w:lastRenderedPageBreak/>
              <w:t>заключение указанного договора, и (или) адреса страницы официального сайта, в том числе страницы входа в личный кабинет клиента на таком официальном сайте, и (или) мобильного приложения профессионального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lastRenderedPageBreak/>
              <w:t>Профессиональная деятельность на рынке ценных бумаг осуществляется в Центральном офисе.</w:t>
            </w:r>
          </w:p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Адрес: 115093, г. Москва, ул. Дубининская, д. 94 (м. Павелецкая / м. 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Тульская)</w:t>
            </w:r>
            <w:r>
              <w:rPr>
                <w:rFonts w:ascii="RF Dewi" w:hAnsi="RF Dewi"/>
                <w:color w:val="202020"/>
                <w:spacing w:val="2"/>
              </w:rPr>
              <w:br/>
              <w:t>Телефон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>: +7 (495) 786-37-73</w:t>
            </w:r>
            <w:r>
              <w:rPr>
                <w:rFonts w:ascii="RF Dewi" w:hAnsi="RF Dewi"/>
                <w:color w:val="202020"/>
                <w:spacing w:val="2"/>
              </w:rPr>
              <w:br/>
              <w:t>Факс: +7 (495) 786-26-08</w:t>
            </w:r>
            <w:r>
              <w:rPr>
                <w:rFonts w:ascii="RF Dewi" w:hAnsi="RF Dewi"/>
                <w:color w:val="202020"/>
                <w:spacing w:val="2"/>
              </w:rPr>
              <w:br/>
              <w:t xml:space="preserve">Режим работы: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пн-пт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>: 9:00 - 18:30</w:t>
            </w:r>
            <w:r>
              <w:rPr>
                <w:rFonts w:ascii="RF Dewi" w:hAnsi="RF Dewi"/>
                <w:color w:val="202020"/>
                <w:spacing w:val="2"/>
              </w:rPr>
              <w:br/>
            </w:r>
            <w:r>
              <w:rPr>
                <w:rFonts w:ascii="RF Dewi" w:hAnsi="RF Dewi"/>
                <w:color w:val="202020"/>
                <w:spacing w:val="2"/>
              </w:rPr>
              <w:lastRenderedPageBreak/>
              <w:t>Время обслуживания клиентов:</w:t>
            </w:r>
            <w:r>
              <w:rPr>
                <w:rFonts w:ascii="RF Dewi" w:hAnsi="RF Dewi"/>
                <w:color w:val="202020"/>
                <w:spacing w:val="2"/>
              </w:rPr>
              <w:br/>
              <w:t xml:space="preserve">для юридических лиц: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пн-пт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9:30 - 17:30</w:t>
            </w:r>
            <w:r>
              <w:rPr>
                <w:rFonts w:ascii="RF Dewi" w:hAnsi="RF Dewi"/>
                <w:color w:val="202020"/>
                <w:spacing w:val="2"/>
              </w:rPr>
              <w:br/>
              <w:t xml:space="preserve">для физических лиц: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пн-пт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9:30 - 18:30</w:t>
            </w:r>
          </w:p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proofErr w:type="spellStart"/>
            <w:r>
              <w:rPr>
                <w:rFonts w:ascii="RF Dewi" w:hAnsi="RF Dewi"/>
                <w:color w:val="202020"/>
                <w:spacing w:val="2"/>
              </w:rPr>
              <w:t>Прием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документов, связанных с оказанием таких услуг, осуществляется также в следующих офисах:</w:t>
            </w:r>
          </w:p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Дополнительный офис в г. Калининград</w:t>
            </w:r>
            <w:r>
              <w:rPr>
                <w:rFonts w:ascii="RF Dewi" w:hAnsi="RF Dewi"/>
                <w:color w:val="202020"/>
                <w:spacing w:val="2"/>
              </w:rPr>
              <w:br/>
              <w:t>Адрес: 236022, г. Калининград, пер. Кирова, д. 2, пом. IV</w:t>
            </w:r>
            <w:r>
              <w:rPr>
                <w:rFonts w:ascii="RF Dewi" w:hAnsi="RF Dewi"/>
                <w:color w:val="202020"/>
                <w:spacing w:val="2"/>
              </w:rPr>
              <w:br/>
              <w:t>Телефон: +7 (4012) 971-053, 971-054</w:t>
            </w:r>
            <w:r>
              <w:rPr>
                <w:rFonts w:ascii="RF Dewi" w:hAnsi="RF Dewi"/>
                <w:color w:val="202020"/>
                <w:spacing w:val="2"/>
              </w:rPr>
              <w:br/>
              <w:t xml:space="preserve">Режим 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работы:</w:t>
            </w:r>
            <w:r>
              <w:rPr>
                <w:rFonts w:ascii="RF Dewi" w:hAnsi="RF Dewi"/>
                <w:color w:val="202020"/>
                <w:spacing w:val="2"/>
              </w:rPr>
              <w:br/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пн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>-пт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: 9:00 - 18:00,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сб-вс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– выходной</w:t>
            </w:r>
            <w:r>
              <w:rPr>
                <w:rFonts w:ascii="RF Dewi" w:hAnsi="RF Dewi"/>
                <w:color w:val="202020"/>
                <w:spacing w:val="2"/>
              </w:rPr>
              <w:br/>
              <w:t>обслуживание клиентов: 09:30 - 17:30, обед: 13:00 - 14:00</w:t>
            </w:r>
          </w:p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Дополнительный офис в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г.Казань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br/>
              <w:t>Адрес: 420111, г. Казань, ул. Карла Маркса, д. 59</w:t>
            </w:r>
            <w:r>
              <w:rPr>
                <w:rFonts w:ascii="RF Dewi" w:hAnsi="RF Dewi"/>
                <w:color w:val="202020"/>
                <w:spacing w:val="2"/>
              </w:rPr>
              <w:br/>
              <w:t>Телефон: +7 (843) 210-00-80, 204-21-02</w:t>
            </w:r>
            <w:r>
              <w:rPr>
                <w:rFonts w:ascii="RF Dewi" w:hAnsi="RF Dewi"/>
                <w:color w:val="202020"/>
                <w:spacing w:val="2"/>
              </w:rPr>
              <w:br/>
              <w:t xml:space="preserve">Режим 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работы:</w:t>
            </w:r>
            <w:r>
              <w:rPr>
                <w:rFonts w:ascii="RF Dewi" w:hAnsi="RF Dewi"/>
                <w:color w:val="202020"/>
                <w:spacing w:val="2"/>
              </w:rPr>
              <w:br/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пн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>-пт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: 9:00 - 18:00,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сб-вс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– выходной</w:t>
            </w:r>
            <w:r>
              <w:rPr>
                <w:rFonts w:ascii="RF Dewi" w:hAnsi="RF Dewi"/>
                <w:color w:val="202020"/>
                <w:spacing w:val="2"/>
              </w:rPr>
              <w:br/>
              <w:t>обслуживание клиентов: 09:30 - 17:30</w:t>
            </w:r>
          </w:p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Дополнительный офис в г. Пермь</w:t>
            </w:r>
            <w:r>
              <w:rPr>
                <w:rFonts w:ascii="RF Dewi" w:hAnsi="RF Dewi"/>
                <w:color w:val="202020"/>
                <w:spacing w:val="2"/>
              </w:rPr>
              <w:br/>
              <w:t>Адрес: 614007, г. Пермь, ул. Тимирязева, 24а</w:t>
            </w:r>
            <w:r>
              <w:rPr>
                <w:rFonts w:ascii="RF Dewi" w:hAnsi="RF Dewi"/>
                <w:color w:val="202020"/>
                <w:spacing w:val="2"/>
              </w:rPr>
              <w:br/>
              <w:t>Телефон: +7 (342) 206-53-23, 207-25-35</w:t>
            </w:r>
            <w:r>
              <w:rPr>
                <w:rFonts w:ascii="RF Dewi" w:hAnsi="RF Dewi"/>
                <w:color w:val="202020"/>
                <w:spacing w:val="2"/>
              </w:rPr>
              <w:br/>
              <w:t xml:space="preserve">Режим 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работы:</w:t>
            </w:r>
            <w:r>
              <w:rPr>
                <w:rFonts w:ascii="RF Dewi" w:hAnsi="RF Dewi"/>
                <w:color w:val="202020"/>
                <w:spacing w:val="2"/>
              </w:rPr>
              <w:br/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пн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>-пт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: 9:00 - 18:00,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сб-вс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– выходной</w:t>
            </w:r>
            <w:r>
              <w:rPr>
                <w:rFonts w:ascii="RF Dewi" w:hAnsi="RF Dewi"/>
                <w:color w:val="202020"/>
                <w:spacing w:val="2"/>
              </w:rPr>
              <w:br/>
              <w:t>обслуживание клиентов: 09:30 - 17:30</w:t>
            </w:r>
          </w:p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Дополнительный офис ''Горьковский'' в г. Нижний Новгород</w:t>
            </w:r>
            <w:r>
              <w:rPr>
                <w:rFonts w:ascii="RF Dewi" w:hAnsi="RF Dewi"/>
                <w:color w:val="202020"/>
                <w:spacing w:val="2"/>
              </w:rPr>
              <w:br/>
              <w:t xml:space="preserve">Адрес: 603000, г. Нижний Новгород, ул.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Студеная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>, д. 5</w:t>
            </w:r>
            <w:r>
              <w:rPr>
                <w:rFonts w:ascii="RF Dewi" w:hAnsi="RF Dewi"/>
                <w:color w:val="202020"/>
                <w:spacing w:val="2"/>
              </w:rPr>
              <w:br/>
              <w:t>Телефоны: 8 (831) 214-0135, 8 (831) 214-0120</w:t>
            </w:r>
            <w:r>
              <w:rPr>
                <w:rFonts w:ascii="RF Dewi" w:hAnsi="RF Dewi"/>
                <w:color w:val="202020"/>
                <w:spacing w:val="2"/>
              </w:rPr>
              <w:br/>
              <w:t xml:space="preserve">Режим 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работы:</w:t>
            </w:r>
            <w:r>
              <w:rPr>
                <w:rFonts w:ascii="RF Dewi" w:hAnsi="RF Dewi"/>
                <w:color w:val="202020"/>
                <w:spacing w:val="2"/>
              </w:rPr>
              <w:br/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пн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>-пт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: 9:00 - 18:00,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сб-вс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– </w:t>
            </w:r>
            <w:r>
              <w:rPr>
                <w:rFonts w:ascii="RF Dewi" w:hAnsi="RF Dewi"/>
                <w:color w:val="202020"/>
                <w:spacing w:val="2"/>
              </w:rPr>
              <w:lastRenderedPageBreak/>
              <w:t>выходной</w:t>
            </w:r>
            <w:r>
              <w:rPr>
                <w:rFonts w:ascii="RF Dewi" w:hAnsi="RF Dewi"/>
                <w:color w:val="202020"/>
                <w:spacing w:val="2"/>
              </w:rPr>
              <w:br/>
              <w:t>обслуживание клиентов: 09:30 - 17:30</w:t>
            </w:r>
          </w:p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Дополнительный офис в г. Липецк</w:t>
            </w:r>
            <w:r>
              <w:rPr>
                <w:rFonts w:ascii="RF Dewi" w:hAnsi="RF Dewi"/>
                <w:color w:val="202020"/>
                <w:spacing w:val="2"/>
              </w:rPr>
              <w:br/>
              <w:t>Адрес: 398001, г. Липецк, ул. Советская, д.45, пом. 4</w:t>
            </w:r>
            <w:r>
              <w:rPr>
                <w:rFonts w:ascii="RF Dewi" w:hAnsi="RF Dewi"/>
                <w:color w:val="202020"/>
                <w:spacing w:val="2"/>
              </w:rPr>
              <w:br/>
              <w:t>Телефон: 8 (4742) 47-60-12, 47-60-23</w:t>
            </w:r>
            <w:r>
              <w:rPr>
                <w:rFonts w:ascii="RF Dewi" w:hAnsi="RF Dewi"/>
                <w:color w:val="202020"/>
                <w:spacing w:val="2"/>
              </w:rPr>
              <w:br/>
              <w:t xml:space="preserve">Режим 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работы:</w:t>
            </w:r>
            <w:r>
              <w:rPr>
                <w:rFonts w:ascii="RF Dewi" w:hAnsi="RF Dewi"/>
                <w:color w:val="202020"/>
                <w:spacing w:val="2"/>
              </w:rPr>
              <w:br/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пн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>-пт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: 9:00 - 18:00,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сб-вс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– выходной</w:t>
            </w:r>
            <w:r>
              <w:rPr>
                <w:rFonts w:ascii="RF Dewi" w:hAnsi="RF Dewi"/>
                <w:color w:val="202020"/>
                <w:spacing w:val="2"/>
              </w:rPr>
              <w:br/>
              <w:t>обслуживание клиентов: 09:30 - 17:30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об агентах (поверенных) профессионального участника, действующих в целях заключения с физическими и (или) юридическими лицами договоров об оказании профессиональным участником услуг на рынке ценных бумаг и (или) участвующих в оказании таких услуг клиентам профессионального участника (при наличии), с указанием:</w:t>
            </w:r>
            <w:r>
              <w:rPr>
                <w:rFonts w:ascii="RF Dewi" w:hAnsi="RF Dewi"/>
                <w:color w:val="202020"/>
                <w:spacing w:val="2"/>
              </w:rPr>
              <w:br/>
              <w:t xml:space="preserve">в отношении агентов (поверенных) - российских юридических лиц - полного и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сокращенного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(при наличии) фирменного наименования, ОГРН, ИНН;</w:t>
            </w:r>
            <w:r>
              <w:rPr>
                <w:rFonts w:ascii="RF Dewi" w:hAnsi="RF Dewi"/>
                <w:color w:val="202020"/>
                <w:spacing w:val="2"/>
              </w:rPr>
              <w:br/>
              <w:t>в отношении агентов (поверенных) - иностранных юридических лиц - наименования, идентификационного номера налогоплательщика в стране регистрации (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Tax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Identification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Number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(далее - TIN) или его аналога (при наличии);</w:t>
            </w:r>
            <w:r>
              <w:rPr>
                <w:rFonts w:ascii="RF Dewi" w:hAnsi="RF Dewi"/>
                <w:color w:val="202020"/>
                <w:spacing w:val="2"/>
              </w:rPr>
              <w:br/>
              <w:t>в отношении агентов (поверенных) - физических лиц - фамилии, имени, отчества (при наличии);</w:t>
            </w:r>
            <w:r>
              <w:rPr>
                <w:rFonts w:ascii="RF Dewi" w:hAnsi="RF Dewi"/>
                <w:color w:val="202020"/>
                <w:spacing w:val="2"/>
              </w:rPr>
              <w:br/>
              <w:t>в отношении агентов (поверенных) - юридических и физических лиц - описания услуг, оказываемых указанным агентом (поверенным) профессиональному участнику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Агенты (поверенные) отсутствуют</w:t>
            </w:r>
          </w:p>
        </w:tc>
      </w:tr>
      <w:tr w:rsidR="00604400" w:rsidTr="0060440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4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Раздел 2. Документы и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отчетность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профессионального участника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Текст стандартов СРО, которыми руководствуется профессиональный участник при осуществлении своей деятельности, или ссылки на сайты в </w:t>
            </w:r>
            <w:r>
              <w:rPr>
                <w:rFonts w:ascii="RF Dewi" w:hAnsi="RF Dewi"/>
                <w:color w:val="202020"/>
                <w:spacing w:val="2"/>
              </w:rPr>
              <w:lastRenderedPageBreak/>
              <w:t>сети "Интернет", содержащие текст стандартов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8" w:history="1"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https://naufor.ru/tree.asp?n=16042</w:t>
              </w:r>
            </w:hyperlink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Образцы договоров, предлагаемые профессиональным участником своим клиентам при предоставлении им услуг профессионального участника на рынке ценных бумаг (далее - образец договора)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9" w:history="1"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Заявление на заключение депозитарного договора для физических лиц (действует с 03.11.2023)</w:t>
              </w:r>
            </w:hyperlink>
            <w:r>
              <w:rPr>
                <w:rFonts w:ascii="RF Dewi" w:hAnsi="RF Dewi"/>
                <w:color w:val="202020"/>
                <w:spacing w:val="2"/>
              </w:rPr>
              <w:br/>
            </w:r>
            <w:r>
              <w:rPr>
                <w:rFonts w:ascii="RF Dewi" w:hAnsi="RF Dewi"/>
                <w:color w:val="202020"/>
                <w:spacing w:val="2"/>
              </w:rPr>
              <w:br/>
            </w:r>
            <w:hyperlink r:id="rId10" w:history="1"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Заявление на заключение депозитарного договора для юридических лиц (действует с 03.11.2023)</w:t>
              </w:r>
            </w:hyperlink>
            <w:r>
              <w:rPr>
                <w:rFonts w:ascii="RF Dewi" w:hAnsi="RF Dewi"/>
                <w:color w:val="202020"/>
                <w:spacing w:val="2"/>
              </w:rPr>
              <w:br/>
            </w:r>
            <w:r>
              <w:rPr>
                <w:rFonts w:ascii="RF Dewi" w:hAnsi="RF Dewi"/>
                <w:color w:val="202020"/>
                <w:spacing w:val="2"/>
              </w:rPr>
              <w:br/>
            </w:r>
            <w:hyperlink r:id="rId11" w:history="1"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Заявление об акцепте условий предоставления брокерских услуг для физических лиц (действует с 05.03.2024)</w:t>
              </w:r>
            </w:hyperlink>
            <w:r>
              <w:rPr>
                <w:rFonts w:ascii="RF Dewi" w:hAnsi="RF Dewi"/>
                <w:color w:val="202020"/>
                <w:spacing w:val="2"/>
              </w:rPr>
              <w:br/>
            </w:r>
            <w:r>
              <w:rPr>
                <w:rFonts w:ascii="RF Dewi" w:hAnsi="RF Dewi"/>
                <w:color w:val="202020"/>
                <w:spacing w:val="2"/>
              </w:rPr>
              <w:br/>
            </w:r>
            <w:hyperlink r:id="rId12" w:history="1"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Заявление об акцепте условий предоставления брокерских услуг для юридических лиц (действует с 05.03.2024)</w:t>
              </w:r>
            </w:hyperlink>
            <w:r>
              <w:rPr>
                <w:rFonts w:ascii="RF Dewi" w:hAnsi="RF Dewi"/>
                <w:color w:val="202020"/>
                <w:spacing w:val="2"/>
              </w:rPr>
              <w:br/>
            </w:r>
            <w:r>
              <w:rPr>
                <w:rFonts w:ascii="RF Dewi" w:hAnsi="RF Dewi"/>
                <w:color w:val="202020"/>
                <w:spacing w:val="2"/>
              </w:rPr>
              <w:br/>
            </w:r>
            <w:hyperlink r:id="rId13" w:history="1"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Заявление об акцепте условий предоставления брокерских услуг с открытием и ведением ИИС (действует с 05.03.2024)</w:t>
              </w:r>
            </w:hyperlink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Документ, определяющий условия договора о порядке оказания профессиональным участником услуг на рынке ценных бумаг, заключаемого в соответствии со статьями 3 - 5, 7 и 8 Федерального закона от 22 апреля 1996 года N 39-ФЗ "О рынке ценных бумаг" (далее соответственно - Федеральный закон "О рынке ценных бумаг", регламент)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14" w:history="1"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Условия осуществления депозитарной деятельности АКБ «</w:t>
              </w:r>
              <w:proofErr w:type="spellStart"/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Трансстройбанк</w:t>
              </w:r>
              <w:proofErr w:type="spellEnd"/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» (АО) (действуют с 03.11.2023)</w:t>
              </w:r>
            </w:hyperlink>
            <w:r>
              <w:rPr>
                <w:rFonts w:ascii="RF Dewi" w:hAnsi="RF Dewi"/>
                <w:color w:val="202020"/>
                <w:spacing w:val="2"/>
              </w:rPr>
              <w:br/>
            </w:r>
            <w:r>
              <w:rPr>
                <w:rFonts w:ascii="RF Dewi" w:hAnsi="RF Dewi"/>
                <w:color w:val="202020"/>
                <w:spacing w:val="2"/>
              </w:rPr>
              <w:br/>
            </w:r>
            <w:hyperlink r:id="rId15" w:history="1"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Условия предоставления АКБ «</w:t>
              </w:r>
              <w:proofErr w:type="spellStart"/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Трансстройбанк</w:t>
              </w:r>
              <w:proofErr w:type="spellEnd"/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» (АО) брокерских услуг (действуют с 05.03.2024)</w:t>
              </w:r>
            </w:hyperlink>
            <w:r>
              <w:rPr>
                <w:rFonts w:ascii="RF Dewi" w:hAnsi="RF Dewi"/>
                <w:color w:val="202020"/>
                <w:spacing w:val="2"/>
              </w:rPr>
              <w:br/>
            </w:r>
            <w:r>
              <w:rPr>
                <w:rFonts w:ascii="RF Dewi" w:hAnsi="RF Dewi"/>
                <w:color w:val="202020"/>
                <w:spacing w:val="2"/>
              </w:rPr>
              <w:br/>
            </w:r>
            <w:hyperlink r:id="rId16" w:history="1"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Условия предоставления АКБ «</w:t>
              </w:r>
              <w:proofErr w:type="spellStart"/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Трансстройбанк</w:t>
              </w:r>
              <w:proofErr w:type="spellEnd"/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» (АО) брокерских услуг с открытием и ведением ИИС (действуют с 05.03.2024)</w:t>
              </w:r>
            </w:hyperlink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Документ, определяющий условия соглашения между участниками электронного взаимодействия, заключаемого между профессиональным участником и его клиентами (зарегистрированными лицами) (далее - документ об </w:t>
            </w:r>
            <w:r>
              <w:rPr>
                <w:rFonts w:ascii="RF Dewi" w:hAnsi="RF Dewi"/>
                <w:color w:val="202020"/>
                <w:spacing w:val="2"/>
              </w:rPr>
              <w:lastRenderedPageBreak/>
              <w:t>электронном документообороте)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17" w:history="1"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Правила дистанционного банковского обслуживания физического лица в АКБ «</w:t>
              </w:r>
              <w:proofErr w:type="spellStart"/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Трансстройбанк</w:t>
              </w:r>
              <w:proofErr w:type="spellEnd"/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» (АО) (действуют с 14.02.2024)</w:t>
              </w:r>
            </w:hyperlink>
            <w:r>
              <w:rPr>
                <w:rFonts w:ascii="RF Dewi" w:hAnsi="RF Dewi"/>
                <w:color w:val="202020"/>
                <w:spacing w:val="2"/>
              </w:rPr>
              <w:br/>
            </w:r>
            <w:r>
              <w:rPr>
                <w:rFonts w:ascii="RF Dewi" w:hAnsi="RF Dewi"/>
                <w:color w:val="202020"/>
                <w:spacing w:val="2"/>
              </w:rPr>
              <w:br/>
            </w:r>
            <w:hyperlink r:id="rId18" w:history="1"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 xml:space="preserve">Правила предоставления и использования систем </w:t>
              </w:r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lastRenderedPageBreak/>
                <w:t>дистанционного банковского обслуживания для юридических лиц, индивидуальных предпринимателей, физических лиц, занимающихся в установленном действующим законодательством Российской Федерации порядке частной практикой, физических лиц-должников, признанных банкротами, в АКБ «</w:t>
              </w:r>
              <w:proofErr w:type="spellStart"/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Трансстройбанк</w:t>
              </w:r>
              <w:proofErr w:type="spellEnd"/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» (АО) (действуют с 13.09.2023)</w:t>
              </w:r>
            </w:hyperlink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Документ, содержащий порядок принятия профессиональным участником решения о признании лица квалифицированным инвестором,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утвержденный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в соответствии с пунктом 7 статьи 51.2 Федерального закона "О рынке ценных бумаг" (далее - документ о порядке признания лица квалифицированным инвестором)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19" w:history="1"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Регламент признания лиц квалифицированными инвесторами в АКБ «</w:t>
              </w:r>
              <w:proofErr w:type="spellStart"/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Трансстройбанк</w:t>
              </w:r>
              <w:proofErr w:type="spellEnd"/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» (АО) (действует с 07.11.2021)</w:t>
              </w:r>
            </w:hyperlink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Годовая бухгалтерская (финансовая)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отчетность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, составленная профессиональным участником в соответствии с отраслевыми стандартами бухгалтерского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учета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,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утвержденными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Банком России на основании пункта 14 статьи 4 Федерального закона от 10 июля 2002 года N 86-ФЗ "О Центральном банке Российской Федерации (Банке России)" (далее - Федеральный закон "О Центральном банке Российской Федерации (Банке России)"), а также аудиторское заключение об указанной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отчетности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Согласно пункту 12 Указания Банка России от 02.08.2023 г № 6496-У, информация раскрывается в составе,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объемах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, порядке и сроках, установленными ФЗ «О банках и банковской деятельности», с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учетом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особенностей раскрытия информации, установленных Решением Совета директоров Банка России от 26.12.2023 «О требованиях к раскрытию кредитными организациями (головными кредитными организациями банковских групп)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отчетности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и информации в 2024 году»</w:t>
            </w:r>
          </w:p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20" w:history="1"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https://transstroybank.ru/o-banke/finansovaya-otchetnost/</w:t>
              </w:r>
            </w:hyperlink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Промежуточная бухгалтерская (финансовая)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отчетность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, составленная профессиональным участником в соответствии с отраслевыми стандартами бухгалтерского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учета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,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утвержденными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Банком России на </w:t>
            </w:r>
            <w:r>
              <w:rPr>
                <w:rFonts w:ascii="RF Dewi" w:hAnsi="RF Dewi"/>
                <w:color w:val="202020"/>
                <w:spacing w:val="2"/>
              </w:rPr>
              <w:lastRenderedPageBreak/>
              <w:t xml:space="preserve">основании пункта 14 статьи 4 Федерального закона "О Центральном банке Российской Федерации (Банке России)", за исключением примечаний к бухгалтерской (финансовой)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отчетности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(в случае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ее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lastRenderedPageBreak/>
              <w:t xml:space="preserve">Согласно пункту 12 Указания Банка России от 02.08.2023 г № 6496-У, информация раскрывается в составе,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объемах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, порядке и сроках, установленными ФЗ «О банках и </w:t>
            </w:r>
            <w:r>
              <w:rPr>
                <w:rFonts w:ascii="RF Dewi" w:hAnsi="RF Dewi"/>
                <w:color w:val="202020"/>
                <w:spacing w:val="2"/>
              </w:rPr>
              <w:lastRenderedPageBreak/>
              <w:t xml:space="preserve">банковской деятельности», с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учетом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особенностей раскрытия информации, установленных Решением Совета директоров Банка России от 26.12.2023 «О требованиях к раскрытию кредитными организациями (головными кредитными организациями банковских групп)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отчетности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и информации в 2024 году»</w:t>
            </w:r>
          </w:p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21" w:history="1"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https://transstroybank.ru/o-banke/finansovaya-otchetnost/</w:t>
              </w:r>
            </w:hyperlink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Годовая консолидированная финансовая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отчетность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(финансовая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отчетность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), составленная в соответствии со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статьей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3 Федерального закона от 27 июля 2010 года N 208-ФЗ "О консолидированной финансовой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отчетности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" (далее - Федеральный закон "О консолидированной финансовой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отчетности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") (в случае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ее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составления), а также аудиторское заключение в отношении указанной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отчетности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или информация о месте раскрытия годовой консолидированной финансовой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отчетности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(финансовой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отчетности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) в случае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ее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размещения в ином, отличном от официального сайта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Согласно пункту 12 Указания Банка России от 02.08.2023 г № 6496-У, информация раскрывается в составе,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объемах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, порядке и сроках, установленными ФЗ «О банках и банковской деятельности», с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учетом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особенностей раскрытия информации, установленных Решением Совета директоров Банка России от 26.12.2023 «О требованиях к раскрытию кредитными организациями (головными кредитными организациями банковских групп)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отчетности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и информации в 2024 году»</w:t>
            </w:r>
          </w:p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22" w:history="1"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https://transstroybank.ru/o-banke/finansovaya-otchetnost/</w:t>
              </w:r>
            </w:hyperlink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Промежуточная консолидированная финансовая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отчетность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(финансовая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отчетность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), составленная в соответствии со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статьей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3 Федерального закона "О консолидированной финансовой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отчетности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" (в случае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ее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составления), а также аудиторское заключение или иной документ, составляемый по результатам проверки указанной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отчетности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за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отчетные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периоды, состоящие из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трех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, шести и девяти месяцев текущего года, в соответствии со стандартами аудиторской деятельности согласно статье 5 Федерального закона "О консолидированной финансовой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lastRenderedPageBreak/>
              <w:t>отчетности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" (при наличии), или информация о месте раскрытия промежуточной консолидированной финансовой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отчетности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(финансовой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отчетности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) в случае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ее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размещения в ином, отличном от официального сайта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lastRenderedPageBreak/>
              <w:t xml:space="preserve">Согласно пункту 12 Указания Банка России от 02.08.2023 г № 6496-У, информация раскрывается в составе,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объемах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, порядке и сроках, установленными ФЗ «О банках и банковской деятельности», с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учетом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особенностей раскрытия информации, установленных Решением Совета директоров Банка России от 26.12.2023 «О требованиях к раскрытию кредитными организациями (головными кредитными организациями банковских </w:t>
            </w:r>
            <w:r>
              <w:rPr>
                <w:rFonts w:ascii="RF Dewi" w:hAnsi="RF Dewi"/>
                <w:color w:val="202020"/>
                <w:spacing w:val="2"/>
              </w:rPr>
              <w:lastRenderedPageBreak/>
              <w:t xml:space="preserve">групп)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отчетности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и информации в 2024 году»</w:t>
            </w:r>
          </w:p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23" w:history="1"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https://transstroybank.ru/o-banke/finansovaya-otchetnost/</w:t>
              </w:r>
            </w:hyperlink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proofErr w:type="spellStart"/>
            <w:r>
              <w:rPr>
                <w:rFonts w:ascii="RF Dewi" w:hAnsi="RF Dewi"/>
                <w:color w:val="202020"/>
                <w:spacing w:val="2"/>
              </w:rPr>
              <w:t>Отчетность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, содержащая сведения об аффилированных лицах организации (индивидуального предпринимателя) и структуре собственности организации (код формы по ОКУД 0420402), составляемая и представляемая профессиональным участником в Банк России в порядке и сроки, установленные в соответствии со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статьей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76.6 Федерального закона "О Центральном банке Российской Федерации (Банке России)" (далее -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отчетность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об аффилированных лицах и структуре собственности), за исключением информации, относящейся к персональным данным, кроме фамилии и инициалов субъекта персональных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Предоставление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отчетности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по форме 0420402 в соответствии с п. 2 Указания Банка России от 30.09.2022 № 6282-У «Об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объеме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, формах, сроках и порядке составления и представления в Банк России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отчетности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профессиональных участников рынка ценных бумаг, организаторов торговли и клиринговых организаций, а также другой информации» не распространяется на профессиональных участников рынка ценных бумаг, которые являются кредитными организациями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proofErr w:type="spellStart"/>
            <w:r>
              <w:rPr>
                <w:rFonts w:ascii="RF Dewi" w:hAnsi="RF Dewi"/>
                <w:color w:val="202020"/>
                <w:spacing w:val="2"/>
              </w:rPr>
              <w:t>Отчетность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о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расчете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собственных средств (код формы по ОКУД 0420413), составляемая и представляемая профессиональным участником в Банк России в порядке и сроки, установленные в соответствии со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статьей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76.6 Федерального закона "О Центральном банке Российской Федерации (Банке России)" (далее -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отчетность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о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расчете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собственных средств), в части стоимости активов (величины обязательств), принимаемых к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расчету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собственных средств профессионального участника в соответствии с главами 1 - 3 Указания Банка России от 22 марта 2019 года N 5099-У "О требованиях к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расчету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размера собственных средств при осуществлении профессиональной деятельности на рынке ценных бумаг, а также при получении лицензии (лицензий) на осуществление профессиональной деятельности на рынке ценных бумаг" &lt;1&gt;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Предоставление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отчетности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по форме 0420413 в соответствии с п. 2 Указания Банка России от 30.09.2022 № 6282-У «Об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объеме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, формах, сроках и порядке составления и представления в Банк России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отчетности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профессиональных участников рынка ценных бумаг, организаторов торговли и клиринговых организаций, а также другой информации» не распространяется на профессиональных участников рынка ценных бумаг, которые являются кредитными организациями</w:t>
            </w:r>
          </w:p>
        </w:tc>
      </w:tr>
      <w:tr w:rsidR="00604400" w:rsidTr="0060440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4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lastRenderedPageBreak/>
              <w:t>Раздел 3. Информация о деятельности профессионального участника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 возникновении технических сбоев в автоматизированных системах и (или) программном обеспечении профессионального участника, которые привели к отсутствию (ограничению) работоспособности указанных автоматизированных систем и (или) программного обеспечения и отсутствию (ограничению) возможности осуществления деятельности профессионального участника в отношении отдельных или всех клиентов (зарегистрированных лиц) профессионального участника и (или) к отсутствию (ограничению) возможности всех или отдельных клиентов (зарегистрированных лиц) профессионального участника использовать автоматизированные системы и (или) программное обеспечение профессионального участника, к которым им предоставлялся доступ, на протяжении более одного часа подряд, а для депозитариев и держателей реестра владельцев ценных бумаг - более одного календарного дня (далее - технический сбой), с указанием: даты и времени возникновения технического сбоя; описания последствий технического сбоя; фактической причины или предполагаемой причины (в случае невозможности установить фактическую причину на момент раскрытия информации) технического сбоя, предполагаемых даты и времени устранения технического сбоя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Случаи технических сбоев в автоматизированных системах и (или) программном обеспечении профессионального участника отсутствуют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Информация об устранении технического сбоя с 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указанием:</w:t>
            </w:r>
            <w:r>
              <w:rPr>
                <w:rFonts w:ascii="RF Dewi" w:hAnsi="RF Dewi"/>
                <w:color w:val="202020"/>
                <w:spacing w:val="2"/>
              </w:rPr>
              <w:br/>
              <w:t>фактических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причин технического сбоя;</w:t>
            </w:r>
            <w:r>
              <w:rPr>
                <w:rFonts w:ascii="RF Dewi" w:hAnsi="RF Dewi"/>
                <w:color w:val="202020"/>
                <w:spacing w:val="2"/>
              </w:rPr>
              <w:br/>
              <w:t>даты и времени устранения технического сбоя;</w:t>
            </w:r>
            <w:r>
              <w:rPr>
                <w:rFonts w:ascii="RF Dewi" w:hAnsi="RF Dewi"/>
                <w:color w:val="202020"/>
                <w:spacing w:val="2"/>
              </w:rPr>
              <w:br/>
              <w:t>описания последствий технического сбоя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Случаи технических сбоев отсутствуют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Информация о прекращении доступа к раскрываемой информации (в том числе в связи с началом </w:t>
            </w:r>
            <w:r>
              <w:rPr>
                <w:rFonts w:ascii="RF Dewi" w:hAnsi="RF Dewi"/>
                <w:color w:val="202020"/>
                <w:spacing w:val="2"/>
              </w:rPr>
              <w:lastRenderedPageBreak/>
              <w:t xml:space="preserve">профилактических работ) с 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указанием:</w:t>
            </w:r>
            <w:r>
              <w:rPr>
                <w:rFonts w:ascii="RF Dewi" w:hAnsi="RF Dewi"/>
                <w:color w:val="202020"/>
                <w:spacing w:val="2"/>
              </w:rPr>
              <w:br/>
              <w:t>фактической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причины или предполагаемой причины (в случае невозможности установить фактическую причину на момент раскрытия информации) прекращения доступа к раскрываемой информации;</w:t>
            </w:r>
            <w:r>
              <w:rPr>
                <w:rFonts w:ascii="RF Dewi" w:hAnsi="RF Dewi"/>
                <w:color w:val="202020"/>
                <w:spacing w:val="2"/>
              </w:rPr>
              <w:br/>
              <w:t>даты и времени прекращения доступа к раскрываемой информации;</w:t>
            </w:r>
            <w:r>
              <w:rPr>
                <w:rFonts w:ascii="RF Dewi" w:hAnsi="RF Dewi"/>
                <w:color w:val="202020"/>
                <w:spacing w:val="2"/>
              </w:rPr>
              <w:br/>
              <w:t>предполагаемых даты и времени возобновления доступа к раскрываемой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lastRenderedPageBreak/>
              <w:t>Случаи прекращения доступа к раскрываемой информации отсутствуют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Информация о возобновлении доступа к раскрываемой информации (в том числе в связи с окончанием профилактических работ) с 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указанием:</w:t>
            </w:r>
            <w:r>
              <w:rPr>
                <w:rFonts w:ascii="RF Dewi" w:hAnsi="RF Dewi"/>
                <w:color w:val="202020"/>
                <w:spacing w:val="2"/>
              </w:rPr>
              <w:br/>
              <w:t>фактической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причины прекращения доступа к раскрываемой информации;</w:t>
            </w:r>
            <w:r>
              <w:rPr>
                <w:rFonts w:ascii="RF Dewi" w:hAnsi="RF Dewi"/>
                <w:color w:val="202020"/>
                <w:spacing w:val="2"/>
              </w:rPr>
              <w:br/>
              <w:t>даты и времени возобновления доступа к раскрываемой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Случаи прекращения доступа к раскрываемой информации отсутствуют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Информация о судебных спорах профессионального участника, его дочерних и зависимых обществ, по которым исковые требования профессионального участника, его дочерних и зависимых обществ или к профессиональному участнику, его дочерним и зависимым обществам превышают 10 процентов балансовой стоимости активов профессионального участника,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отраженной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в его бухгалтерской (финансовой)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отчетности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по состоянию на последнюю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отчетную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дату, предшествующую дате предъявления иска (при наличии), с указанием:</w:t>
            </w:r>
            <w:r>
              <w:rPr>
                <w:rFonts w:ascii="RF Dewi" w:hAnsi="RF Dewi"/>
                <w:color w:val="202020"/>
                <w:spacing w:val="2"/>
              </w:rPr>
              <w:br/>
              <w:t>наименования суда, рассматривающего спор;</w:t>
            </w:r>
            <w:r>
              <w:rPr>
                <w:rFonts w:ascii="RF Dewi" w:hAnsi="RF Dewi"/>
                <w:color w:val="202020"/>
                <w:spacing w:val="2"/>
              </w:rPr>
              <w:br/>
              <w:t>номера дела;</w:t>
            </w:r>
            <w:r>
              <w:rPr>
                <w:rFonts w:ascii="RF Dewi" w:hAnsi="RF Dewi"/>
                <w:color w:val="202020"/>
                <w:spacing w:val="2"/>
              </w:rPr>
              <w:br/>
              <w:t>даты определения о принятии искового заявления (апелляционной жалобы, кассационной жалобы, заявления о пересмотре судебного акта по новым или вновь открывшимся обстоятельствам) к производству суда, о передаче надзорной жалобы, представления вместе с делом для рассмотрения в судебном заседании Президиума Верховного Суда Российской Федерации;</w:t>
            </w:r>
            <w:r>
              <w:rPr>
                <w:rFonts w:ascii="RF Dewi" w:hAnsi="RF Dewi"/>
                <w:color w:val="202020"/>
                <w:spacing w:val="2"/>
              </w:rPr>
              <w:br/>
            </w:r>
            <w:r>
              <w:rPr>
                <w:rFonts w:ascii="RF Dewi" w:hAnsi="RF Dewi"/>
                <w:color w:val="202020"/>
                <w:spacing w:val="2"/>
              </w:rPr>
              <w:lastRenderedPageBreak/>
              <w:t>даты судебного акта, которым заканчивается производство по делу в суде;</w:t>
            </w:r>
            <w:r>
              <w:rPr>
                <w:rFonts w:ascii="RF Dewi" w:hAnsi="RF Dewi"/>
                <w:color w:val="202020"/>
                <w:spacing w:val="2"/>
              </w:rPr>
              <w:br/>
              <w:t>размера искового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lastRenderedPageBreak/>
              <w:t>Отсутствует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по делам о банкротстве профессионального участника (при наличии) с указанием:</w:t>
            </w:r>
            <w:r>
              <w:rPr>
                <w:rFonts w:ascii="RF Dewi" w:hAnsi="RF Dewi"/>
                <w:color w:val="202020"/>
                <w:spacing w:val="2"/>
              </w:rPr>
              <w:br/>
              <w:t>наименования суда, рассматривающего дело о банкротстве;</w:t>
            </w:r>
            <w:r>
              <w:rPr>
                <w:rFonts w:ascii="RF Dewi" w:hAnsi="RF Dewi"/>
                <w:color w:val="202020"/>
                <w:spacing w:val="2"/>
              </w:rPr>
              <w:br/>
              <w:t>номера дела о банкротстве;</w:t>
            </w:r>
            <w:r>
              <w:rPr>
                <w:rFonts w:ascii="RF Dewi" w:hAnsi="RF Dewi"/>
                <w:color w:val="202020"/>
                <w:spacing w:val="2"/>
              </w:rPr>
              <w:br/>
              <w:t>даты следующих судебных актов по делу о банкротстве:</w:t>
            </w:r>
            <w:r>
              <w:rPr>
                <w:rFonts w:ascii="RF Dewi" w:hAnsi="RF Dewi"/>
                <w:color w:val="202020"/>
                <w:spacing w:val="2"/>
              </w:rPr>
              <w:br/>
              <w:t>определений суда о принятии заявления о признании профессионального участника банкротом, о введении наблюдения, об отказе во введении наблюдения, о прекращении производства по делу о банкротстве, об оставлении заявления о признании профессионального участника банкротом без рассмотрения, об утверждении мирового соглашения;</w:t>
            </w:r>
            <w:r>
              <w:rPr>
                <w:rFonts w:ascii="RF Dewi" w:hAnsi="RF Dewi"/>
                <w:color w:val="202020"/>
                <w:spacing w:val="2"/>
              </w:rPr>
              <w:br/>
              <w:t>решений о признании профессионального участника банкротом и об открытии конкурсного производства, об отказе в признании профессионального участника банкротом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Отсутствует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 способах, которые могут быть использованы клиентом профессионального участника (зарегистрированным лицом) для направления обращений (жалоб) профессиональному участнику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Обращения (жалобы) принимаются профессиональным участником по указанным реквизитам:</w:t>
            </w:r>
          </w:p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Адрес: 115093, г. Москва, ул. Дубининская, д. 94</w:t>
            </w:r>
            <w:r>
              <w:rPr>
                <w:rFonts w:ascii="RF Dewi" w:hAnsi="RF Dewi"/>
                <w:color w:val="202020"/>
                <w:spacing w:val="2"/>
              </w:rPr>
              <w:br/>
              <w:t>Адрес WEB-сервера АКБ «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Трансстройбанк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» (АО) в сети 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INTERNET:</w:t>
            </w:r>
            <w:r>
              <w:rPr>
                <w:rFonts w:ascii="RF Dewi" w:hAnsi="RF Dewi"/>
                <w:color w:val="202020"/>
                <w:spacing w:val="2"/>
              </w:rPr>
              <w:br/>
            </w:r>
            <w:hyperlink r:id="rId24" w:history="1"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http://www.transstroibank.ru</w:t>
              </w:r>
              <w:proofErr w:type="gramEnd"/>
            </w:hyperlink>
            <w:r>
              <w:rPr>
                <w:rFonts w:ascii="RF Dewi" w:hAnsi="RF Dewi"/>
                <w:color w:val="202020"/>
                <w:spacing w:val="2"/>
              </w:rPr>
              <w:br/>
            </w:r>
            <w:hyperlink r:id="rId25" w:history="1"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http://www.transstroуbank.ru</w:t>
              </w:r>
            </w:hyperlink>
            <w:r>
              <w:rPr>
                <w:rFonts w:ascii="RF Dewi" w:hAnsi="RF Dewi"/>
                <w:color w:val="202020"/>
                <w:spacing w:val="2"/>
              </w:rPr>
              <w:br/>
            </w:r>
            <w:hyperlink r:id="rId26" w:history="1"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http://www.tsbnk.ru</w:t>
              </w:r>
            </w:hyperlink>
            <w:r>
              <w:rPr>
                <w:rFonts w:ascii="RF Dewi" w:hAnsi="RF Dewi"/>
                <w:color w:val="202020"/>
                <w:spacing w:val="2"/>
              </w:rPr>
              <w:br/>
            </w:r>
            <w:hyperlink r:id="rId27" w:history="1"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Телефон: +7 (495) 786-37-73</w:t>
              </w:r>
            </w:hyperlink>
            <w:r>
              <w:rPr>
                <w:rFonts w:ascii="RF Dewi" w:hAnsi="RF Dewi"/>
                <w:color w:val="202020"/>
                <w:spacing w:val="2"/>
              </w:rPr>
              <w:t> </w:t>
            </w:r>
            <w:hyperlink r:id="rId28" w:history="1"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E-mail: tsbank@transstroibank.ru</w:t>
              </w:r>
            </w:hyperlink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Информация о программном обеспечении, используемом профессиональным участником для взаимодействия с клиентом (зарегистрированным лицом) (при </w:t>
            </w:r>
            <w:r>
              <w:rPr>
                <w:rFonts w:ascii="RF Dewi" w:hAnsi="RF Dewi"/>
                <w:color w:val="202020"/>
                <w:spacing w:val="2"/>
              </w:rPr>
              <w:lastRenderedPageBreak/>
              <w:t xml:space="preserve">наличии), с 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указанием:</w:t>
            </w:r>
            <w:r>
              <w:rPr>
                <w:rFonts w:ascii="RF Dewi" w:hAnsi="RF Dewi"/>
                <w:color w:val="202020"/>
                <w:spacing w:val="2"/>
              </w:rPr>
              <w:br/>
              <w:t>наименования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программного обеспечения;</w:t>
            </w:r>
            <w:r>
              <w:rPr>
                <w:rFonts w:ascii="RF Dewi" w:hAnsi="RF Dewi"/>
                <w:color w:val="202020"/>
                <w:spacing w:val="2"/>
              </w:rPr>
              <w:br/>
              <w:t>описания рисков, связанных с использованием программного обеспечения, или ссылки на страницу сайта в сети "Интернет", содержащую описание таких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lastRenderedPageBreak/>
              <w:t>1. ДБО BS-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Client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x64 - система дистанционного банковского обслуживания для юридических лиц,</w:t>
            </w:r>
            <w:r>
              <w:rPr>
                <w:rFonts w:ascii="RF Dewi" w:hAnsi="RF Dewi"/>
                <w:color w:val="202020"/>
                <w:spacing w:val="2"/>
              </w:rPr>
              <w:br/>
              <w:t xml:space="preserve">2. ДБО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iSimple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FL - система </w:t>
            </w:r>
            <w:r>
              <w:rPr>
                <w:rFonts w:ascii="RF Dewi" w:hAnsi="RF Dewi"/>
                <w:color w:val="202020"/>
                <w:spacing w:val="2"/>
              </w:rPr>
              <w:lastRenderedPageBreak/>
              <w:t>дистанционного банковского обслуживания для физических лиц,</w:t>
            </w:r>
            <w:r>
              <w:rPr>
                <w:rFonts w:ascii="RF Dewi" w:hAnsi="RF Dewi"/>
                <w:color w:val="202020"/>
                <w:spacing w:val="2"/>
              </w:rPr>
              <w:br/>
              <w:t>3. ДБО Faktura.ru - система дистанционного банковского обслуживания для физических лиц</w:t>
            </w:r>
          </w:p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b/>
                <w:bCs/>
                <w:color w:val="202020"/>
                <w:spacing w:val="2"/>
              </w:rPr>
              <w:t>Риск осуществления электронного документооборота</w:t>
            </w:r>
            <w:r>
              <w:rPr>
                <w:rFonts w:ascii="RF Dewi" w:hAnsi="RF Dewi"/>
                <w:color w:val="202020"/>
                <w:spacing w:val="2"/>
              </w:rPr>
              <w:t> – риск, связанный с возможностью потерь при обмене сообщениями между Банком и Клиентом посредством электронных файлов с использованием систем электронной почты.</w:t>
            </w:r>
            <w:r>
              <w:rPr>
                <w:rFonts w:ascii="RF Dewi" w:hAnsi="RF Dewi"/>
                <w:color w:val="202020"/>
                <w:spacing w:val="2"/>
              </w:rPr>
              <w:br/>
              <w:t xml:space="preserve">Использование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незащищенных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каналов связи может привести к несанкционированному доступу третьих лиц к получаемой/передаваемой информации, в связи с чем, режим 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конфиденциальности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передаваемой/получаемой информации может быть нарушен. Данные обстоятельства могут привести к возникновению у Клиента убытков, связанных с неправомерным использованием третьими лицами полученной информации о сделках, проводимых Клиентом операциях и сведений о Клиенте/его активах.</w:t>
            </w:r>
          </w:p>
        </w:tc>
      </w:tr>
      <w:tr w:rsidR="00604400" w:rsidTr="0060440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4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lastRenderedPageBreak/>
              <w:t>Раздел 4. Информация, дополнительно раскрываемая профессиональными участниками в зависимости от вида осуществляемой профессиональной деятельности на рынке ценных бумаг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30.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Профессиональным участником, осуществляющим брокерскую деятельность (далее – брокер), дополнительно раскрывается: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Указание на то, что брокер имеет лицензию профессионального участника на осуществление брокерской деятельности, не имеющего права на основании договора о брокерском обслуживании с клиентом использовать в своих интересах </w:t>
            </w:r>
            <w:r>
              <w:rPr>
                <w:rFonts w:ascii="RF Dewi" w:hAnsi="RF Dewi"/>
                <w:color w:val="202020"/>
                <w:spacing w:val="2"/>
              </w:rPr>
              <w:lastRenderedPageBreak/>
              <w:t xml:space="preserve">денежные средства клиентов и совершать сделки с ценными бумагами и заключать договоры, являющиеся производными финансовыми инструментами, за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счет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клиентов без привлечения другого брокера (агента), являющегося участником торгов и участником клиринга (далее - лицензия клиентского брокера)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lastRenderedPageBreak/>
              <w:t>Не является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Информация о брокерах и (или) иностранных лицах, имеющих право в соответствии с их личным законом осуществлять брокерскую деятельность на рынке ценных бумаг, с которыми у брокера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заключен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договор о брокерском обслуживании (при наличии), с указанием:</w:t>
            </w:r>
            <w:r>
              <w:rPr>
                <w:rFonts w:ascii="RF Dewi" w:hAnsi="RF Dewi"/>
                <w:color w:val="202020"/>
                <w:spacing w:val="2"/>
              </w:rPr>
              <w:br/>
              <w:t xml:space="preserve">полного и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сокращенного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(при наличии) фирменного наименования, ОГРН, ИНН брокеров;</w:t>
            </w:r>
            <w:r>
              <w:rPr>
                <w:rFonts w:ascii="RF Dewi" w:hAnsi="RF Dewi"/>
                <w:color w:val="202020"/>
                <w:spacing w:val="2"/>
              </w:rPr>
              <w:br/>
              <w:t>наименования, TIN или его аналога (при наличии) иностранных лиц, имеющих право в соответствии с их личным законом осуществлять брокерскую деятельность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Брокеры и (или) иностранные лица, имеющие право в соответствии с их личным законом осуществлять брокерскую деятельность на рынке ценных бумаг, с которыми у брокера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заключен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договор о брокерском обслуживании, отсутствуют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 клиринговых организациях и (или) иностранных лицах, имеющих право в соответствии с их личным законом осуществлять клиринговую деятельность, с которыми брокер заключил договоры об оказании ему клиринговых услуг (при наличии), с указанием:</w:t>
            </w:r>
            <w:r>
              <w:rPr>
                <w:rFonts w:ascii="RF Dewi" w:hAnsi="RF Dewi"/>
                <w:color w:val="202020"/>
                <w:spacing w:val="2"/>
              </w:rPr>
              <w:br/>
              <w:t xml:space="preserve">полного и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сокращенного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(при наличии) фирменного наименования, ОГРН, ИНН клиринговых организаций;</w:t>
            </w:r>
            <w:r>
              <w:rPr>
                <w:rFonts w:ascii="RF Dewi" w:hAnsi="RF Dewi"/>
                <w:color w:val="202020"/>
                <w:spacing w:val="2"/>
              </w:rPr>
              <w:br/>
              <w:t>наименования, TIN или его аналога (при наличии) иностранных лиц, имеющих право в соответствии с их личным законом осуществлять клиринговую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Небанковская кредитная организация-центральный контрагент «Национальный Клиринговый Центр» (Акционерное общество) (НКО НКЦ (АО))</w:t>
            </w:r>
          </w:p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ОГРН 1067711004481</w:t>
            </w:r>
            <w:r>
              <w:rPr>
                <w:rFonts w:ascii="RF Dewi" w:hAnsi="RF Dewi"/>
                <w:color w:val="202020"/>
                <w:spacing w:val="2"/>
              </w:rPr>
              <w:br/>
              <w:t>ИНН 7750004023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Информация о российских организаторах торговли и (или) иностранных биржах, осуществивших допуск брокера к участию в организованных торгах, проводимых российским организатором торговли (иностранной биржей) (при наличии), с 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указанием:</w:t>
            </w:r>
            <w:r>
              <w:rPr>
                <w:rFonts w:ascii="RF Dewi" w:hAnsi="RF Dewi"/>
                <w:color w:val="202020"/>
                <w:spacing w:val="2"/>
              </w:rPr>
              <w:br/>
            </w:r>
            <w:r>
              <w:rPr>
                <w:rFonts w:ascii="RF Dewi" w:hAnsi="RF Dewi"/>
                <w:color w:val="202020"/>
                <w:spacing w:val="2"/>
              </w:rPr>
              <w:lastRenderedPageBreak/>
              <w:t>полного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и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сокращенного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(при наличии) фирменного наименования, ОГРН, ИНН российских организаторов торговли;</w:t>
            </w:r>
            <w:r>
              <w:rPr>
                <w:rFonts w:ascii="RF Dewi" w:hAnsi="RF Dewi"/>
                <w:color w:val="202020"/>
                <w:spacing w:val="2"/>
              </w:rPr>
              <w:br/>
              <w:t>наименования, TIN или его аналога (при наличии) иностранных бирж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lastRenderedPageBreak/>
              <w:t>Публичное Акционерное Общество «Московская Биржа ММВБ-РТС» (ПАО Московская Биржа)</w:t>
            </w:r>
          </w:p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ОГРН 1027739387411</w:t>
            </w:r>
            <w:r>
              <w:rPr>
                <w:rFonts w:ascii="RF Dewi" w:hAnsi="RF Dewi"/>
                <w:color w:val="202020"/>
                <w:spacing w:val="2"/>
              </w:rPr>
              <w:br/>
              <w:t>ИНН 7702077840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 приостановлении допуска брокера к участию в организованных торгах, проводимых российским организатором торговли (иностранной биржей)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Случаи приостановления допуска брокера к участию в организованных торгах, проводимых российским организатором торговли (иностранной биржей), отсутствуют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 приостановлении допуска брокера к клиринговому обслуживанию клиринговой организацией (иностранным лицом, имеющим право в соответствии с его личным законом осуществлять клиринговую деятельность)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Случаи приостановления допуска брокера к клиринговому обслуживанию клиринговой организацией (иностранным лицом, имеющим право в соответствии с его личным законом осуществлять клиринговую деятельность) отсутствуют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Информация о кредитных организациях и (или) иностранных кредитных организациях, в которых брокеру открыты специальные брокерские счета (при наличии), с 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указанием:</w:t>
            </w:r>
            <w:r>
              <w:rPr>
                <w:rFonts w:ascii="RF Dewi" w:hAnsi="RF Dewi"/>
                <w:color w:val="202020"/>
                <w:spacing w:val="2"/>
              </w:rPr>
              <w:br/>
              <w:t>полного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и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сокращенного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(при наличии) фирменного наименования, ОГРН, ИНН кредитных организаций;</w:t>
            </w:r>
            <w:r>
              <w:rPr>
                <w:rFonts w:ascii="RF Dewi" w:hAnsi="RF Dewi"/>
                <w:color w:val="202020"/>
                <w:spacing w:val="2"/>
              </w:rPr>
              <w:br/>
              <w:t>наименования, TIN или его аналога (при наличии) иностранных кредитных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Кредитные организации и (или) иностранные кредитные организации, в которых брокеру открыты специальные брокерские счета отсутствуют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Профессиональным участником, осуществляющим деятельность по управлению ценными бумагами (далее - управляющий), дополнительно раскрывается: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Информация об участниках торгов, которые в соответствии с договором,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заключенным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управляющим, совершают по поручению управляющего на организованных торгах, проводимых российским организатором торговли (иностранной биржей), сделки в рамках деятельности по управлению ценными бумагами (при наличии), с указанием:</w:t>
            </w:r>
            <w:r>
              <w:rPr>
                <w:rFonts w:ascii="RF Dewi" w:hAnsi="RF Dewi"/>
                <w:color w:val="202020"/>
                <w:spacing w:val="2"/>
              </w:rPr>
              <w:br/>
              <w:t xml:space="preserve">полного и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сокращенного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(при наличии) </w:t>
            </w:r>
            <w:r>
              <w:rPr>
                <w:rFonts w:ascii="RF Dewi" w:hAnsi="RF Dewi"/>
                <w:color w:val="202020"/>
                <w:spacing w:val="2"/>
              </w:rPr>
              <w:lastRenderedPageBreak/>
              <w:t>фирменного наименования, ОГРН, ИНН участников торгов - российских юридических лиц;</w:t>
            </w:r>
            <w:r>
              <w:rPr>
                <w:rFonts w:ascii="RF Dewi" w:hAnsi="RF Dewi"/>
                <w:color w:val="202020"/>
                <w:spacing w:val="2"/>
              </w:rPr>
              <w:br/>
              <w:t>наименования, TIN или его аналога (при наличии) участников торгов - иностранных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lastRenderedPageBreak/>
              <w:t>Деятельность по управлению ценными бумагами не осуществляется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Информация о кредитных организациях и (или) иностранных кредитных организациях, в которых управляющему открыты банковские счета для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расчетов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по операциям, совершаемым в рамках деятельности по управлению ценными бумагами, с 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указанием:</w:t>
            </w:r>
            <w:r>
              <w:rPr>
                <w:rFonts w:ascii="RF Dewi" w:hAnsi="RF Dewi"/>
                <w:color w:val="202020"/>
                <w:spacing w:val="2"/>
              </w:rPr>
              <w:br/>
              <w:t>полного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и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сокращенного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(при наличии) фирменного наименования, ОГРН, ИНН кредитных организаций;</w:t>
            </w:r>
            <w:r>
              <w:rPr>
                <w:rFonts w:ascii="RF Dewi" w:hAnsi="RF Dewi"/>
                <w:color w:val="202020"/>
                <w:spacing w:val="2"/>
              </w:rPr>
              <w:br/>
              <w:t>наименования, TIN или его аналога (при наличии) иностранных кредитных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Деятельность по управлению ценными бумагами не осуществляется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Информация об организациях, в которых управляющему открыты лицевые счета (счета депо) доверительного управляющего, с 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указанием:</w:t>
            </w:r>
            <w:r>
              <w:rPr>
                <w:rFonts w:ascii="RF Dewi" w:hAnsi="RF Dewi"/>
                <w:color w:val="202020"/>
                <w:spacing w:val="2"/>
              </w:rPr>
              <w:br/>
              <w:t>полного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и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сокращенного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(при наличии) фирменного наименования, ОГРН, ИНН российских организаций, в которых управляющему открыты лицевые счета (счета депо) доверительного управляющего;</w:t>
            </w:r>
            <w:r>
              <w:rPr>
                <w:rFonts w:ascii="RF Dewi" w:hAnsi="RF Dewi"/>
                <w:color w:val="202020"/>
                <w:spacing w:val="2"/>
              </w:rPr>
              <w:br/>
              <w:t>наименования, TIN или его аналога (при наличии) иностранных организаций, в которых управляющему открыты лицевые счета (счета депо) доверительного управляющего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Деятельность по управлению ценными бумагами не осуществляется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 клиринговых организациях и (или) иностранных лицах, имеющих право в соответствии с их личным законом осуществлять клиринговую деятельность, с которыми управляющий заключил договоры об оказании ему клиринговых услуг (при наличии), с указанием:</w:t>
            </w:r>
            <w:r>
              <w:rPr>
                <w:rFonts w:ascii="RF Dewi" w:hAnsi="RF Dewi"/>
                <w:color w:val="202020"/>
                <w:spacing w:val="2"/>
              </w:rPr>
              <w:br/>
              <w:t xml:space="preserve">полного и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сокращенного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(при наличии) фирменного наименования, ОГРН, ИНН клиринговых организаций;</w:t>
            </w:r>
            <w:r>
              <w:rPr>
                <w:rFonts w:ascii="RF Dewi" w:hAnsi="RF Dewi"/>
                <w:color w:val="202020"/>
                <w:spacing w:val="2"/>
              </w:rPr>
              <w:br/>
              <w:t xml:space="preserve">наименования, TIN или его аналога (при наличии) иностранных лиц, имеющих </w:t>
            </w:r>
            <w:r>
              <w:rPr>
                <w:rFonts w:ascii="RF Dewi" w:hAnsi="RF Dewi"/>
                <w:color w:val="202020"/>
                <w:spacing w:val="2"/>
              </w:rPr>
              <w:lastRenderedPageBreak/>
              <w:t>право в соответствии с их личным законом осуществлять клиринговую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lastRenderedPageBreak/>
              <w:t>Деятельность по управлению ценными бумагами не осуществляется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Информация о российских организаторах торговли и (или) иностранных биржах, осуществивших допуск управляющего к участию в организованных торгах, проводимых российским организатором торговли (иностранной биржей) (при наличии), с 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указанием:</w:t>
            </w:r>
            <w:r>
              <w:rPr>
                <w:rFonts w:ascii="RF Dewi" w:hAnsi="RF Dewi"/>
                <w:color w:val="202020"/>
                <w:spacing w:val="2"/>
              </w:rPr>
              <w:br/>
              <w:t>полного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и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сокращенного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(при наличии) фирменного наименования, ОГРН, ИНН российских организаторов торговли;</w:t>
            </w:r>
            <w:r>
              <w:rPr>
                <w:rFonts w:ascii="RF Dewi" w:hAnsi="RF Dewi"/>
                <w:color w:val="202020"/>
                <w:spacing w:val="2"/>
              </w:rPr>
              <w:br/>
              <w:t>наименования, TIN или его аналога (при наличии) иностранных бирж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Деятельность по управлению ценными бумагами не осуществляется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Депозитарием дополнительно раскрывается: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29" w:history="1"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Условия осуществления депозитарной деятельности АКБ «</w:t>
              </w:r>
              <w:proofErr w:type="spellStart"/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Трансстройбанк</w:t>
              </w:r>
              <w:proofErr w:type="spellEnd"/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» (АО) (действуют с 03.11.2023)</w:t>
              </w:r>
            </w:hyperlink>
            <w:r>
              <w:rPr>
                <w:rFonts w:ascii="RF Dewi" w:hAnsi="RF Dewi"/>
                <w:color w:val="202020"/>
                <w:spacing w:val="2"/>
              </w:rPr>
              <w:br/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Образцы форм документов, заполняемых депонентами для представления в депозитарий в соответствии с условиями осуществления депозитарной деятельности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30" w:history="1"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Формы документов, предоставляемые депонентами в депозитарий (действуют с 03.11.2023)</w:t>
              </w:r>
            </w:hyperlink>
            <w:r>
              <w:rPr>
                <w:rFonts w:ascii="RF Dewi" w:hAnsi="RF Dewi"/>
                <w:color w:val="202020"/>
                <w:spacing w:val="2"/>
              </w:rPr>
              <w:br/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Образцы форм документов, заполняемых депозитарием для представления депонентам в соответствии с условиями осуществления депозитарной деятельности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31" w:history="1"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Формы документов, предоставляемые депозитарием депонентам (действуют с 03.11.2023)</w:t>
              </w:r>
            </w:hyperlink>
            <w:r>
              <w:rPr>
                <w:rFonts w:ascii="RF Dewi" w:hAnsi="RF Dewi"/>
                <w:color w:val="202020"/>
                <w:spacing w:val="2"/>
              </w:rPr>
              <w:br/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Информация о номинальных держателях ценных бумаг, передавших депозитарию на бессрочное хранение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учетные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записи и документы в отношении ценных бумаг, с 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указанием:</w:t>
            </w:r>
            <w:r>
              <w:rPr>
                <w:rFonts w:ascii="RF Dewi" w:hAnsi="RF Dewi"/>
                <w:color w:val="202020"/>
                <w:spacing w:val="2"/>
              </w:rPr>
              <w:br/>
              <w:t>полного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и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сокращенного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(при наличии) фирменного наименования номинальных держателей ценных бумаг, передавших депозитарию на бессрочное хранение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учетные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записи и документы в отношении ценных бумаг;</w:t>
            </w:r>
            <w:r>
              <w:rPr>
                <w:rFonts w:ascii="RF Dewi" w:hAnsi="RF Dewi"/>
                <w:color w:val="202020"/>
                <w:spacing w:val="2"/>
              </w:rPr>
              <w:br/>
            </w:r>
            <w:r>
              <w:rPr>
                <w:rFonts w:ascii="RF Dewi" w:hAnsi="RF Dewi"/>
                <w:color w:val="202020"/>
                <w:spacing w:val="2"/>
              </w:rPr>
              <w:lastRenderedPageBreak/>
              <w:t xml:space="preserve">даты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приема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депозитарием на бессрочное хранение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учетных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записей и документов в отношении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lastRenderedPageBreak/>
              <w:t xml:space="preserve">Номинальные держатели ценных бумаг, передавшие депозитарию на бессрочное хранение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учетные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записи и документы в отношении ценных бумаг, отсутствуют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Информация об организациях, в отношении которых Банком России принято решение об аннулировании лицензии на осуществление депозитарной деятельности и которые передали депозитарию на бессрочное хранение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учетные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записи и документы в отношении иностранных финансовых инструментов, квалифицированных в качестве ценных бумаг в соответствии с подпунктом 2 пункта 1 статьи 51.1 Федерального закона "О рынке ценных бумаг" (далее - иностранные ценные бумаги), с указанием:</w:t>
            </w:r>
            <w:r>
              <w:rPr>
                <w:rFonts w:ascii="RF Dewi" w:hAnsi="RF Dewi"/>
                <w:color w:val="202020"/>
                <w:spacing w:val="2"/>
              </w:rPr>
              <w:br/>
              <w:t xml:space="preserve">полного и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сокращенного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(при наличии) фирменного наименования организаций, передавших депозитарию на бессрочное хранение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учетные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записи и документы в отношении иностранных ценных бумаг;</w:t>
            </w:r>
            <w:r>
              <w:rPr>
                <w:rFonts w:ascii="RF Dewi" w:hAnsi="RF Dewi"/>
                <w:color w:val="202020"/>
                <w:spacing w:val="2"/>
              </w:rPr>
              <w:br/>
              <w:t xml:space="preserve">даты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приема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депозитарием на бессрочное хранение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учетных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записей и документов в отношении иностранных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Организации, в отношении которых Банком России принято решение об аннулировании лицензии на осуществление депозитарной деятельности и которые передали депозитарию на бессрочное хранение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учетные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записи и документы в отношении иностранных финансовых инструментов, квалифицированных в качестве ценных бумаг в соответствии с подпунктом 2 пункта 1 статьи 51.1 Федерального закона «О рынке ценных бумаг», отсутствуют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Информация об информационной системе (информационной системе, в которой осуществляется выпуск цифровых финансовых активов, инвестиционной платформе) с 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указанием:</w:t>
            </w:r>
            <w:r>
              <w:rPr>
                <w:rFonts w:ascii="RF Dewi" w:hAnsi="RF Dewi"/>
                <w:color w:val="202020"/>
                <w:spacing w:val="2"/>
              </w:rPr>
              <w:br/>
              <w:t>наименования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информационной системы (при его наличии);</w:t>
            </w:r>
            <w:r>
              <w:rPr>
                <w:rFonts w:ascii="RF Dewi" w:hAnsi="RF Dewi"/>
                <w:color w:val="202020"/>
                <w:spacing w:val="2"/>
              </w:rPr>
              <w:br/>
              <w:t xml:space="preserve">полного и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сокращенного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(при наличии) фирменного наименования оператора информационной системы, в которой осуществляется выпуск цифровых финансовых активов, или полного и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сокращенного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(при наличии) фирменного наименования оператора инвестиционной платформы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Информационная система (информационная система, в которой осуществляется выпуск цифровых финансовых активов, инвестиционная платформа) отсутствует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Информация об организациях, в которых депозитарию открыты лицевые счета (счета депо) номинального держателя или счета лица, действующего в интересах других лиц, </w:t>
            </w:r>
            <w:r>
              <w:rPr>
                <w:rFonts w:ascii="RF Dewi" w:hAnsi="RF Dewi"/>
                <w:color w:val="202020"/>
                <w:spacing w:val="2"/>
              </w:rPr>
              <w:lastRenderedPageBreak/>
              <w:t>с указанием:</w:t>
            </w:r>
            <w:r>
              <w:rPr>
                <w:rFonts w:ascii="RF Dewi" w:hAnsi="RF Dewi"/>
                <w:color w:val="202020"/>
                <w:spacing w:val="2"/>
              </w:rPr>
              <w:br/>
              <w:t xml:space="preserve">полного и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сокращенного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(при наличии) фирменного наименования, ОГРН, ИНН российских организаций, в которых депозитарию открыты лицевые счета (счета депо) номинального держателя или счета лица, действующего в интересах других лиц;</w:t>
            </w:r>
            <w:r>
              <w:rPr>
                <w:rFonts w:ascii="RF Dewi" w:hAnsi="RF Dewi"/>
                <w:color w:val="202020"/>
                <w:spacing w:val="2"/>
              </w:rPr>
              <w:br/>
              <w:t>наименования, TIN или его аналога (при наличии) иностранных организаций, в которых депозитарию открыты лицевые счета (счета депо) номинального держателя или счета лица, действующего в интересах других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lastRenderedPageBreak/>
              <w:t xml:space="preserve">Небанковская кредитная организация акционерное общество «Национальный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lastRenderedPageBreak/>
              <w:t>расчетный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депозитарий» (НКО АО НРД)</w:t>
            </w:r>
          </w:p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ОГРН 1027739132563</w:t>
            </w:r>
            <w:r>
              <w:rPr>
                <w:rFonts w:ascii="RF Dewi" w:hAnsi="RF Dewi"/>
                <w:color w:val="202020"/>
                <w:spacing w:val="2"/>
              </w:rPr>
              <w:br/>
              <w:t>ИНН 7702165310</w:t>
            </w:r>
          </w:p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Акционерное общество «Независимая регистраторская компания Р.О.С.Т.» (АО «НРК- Р.О.С.Т.»)</w:t>
            </w:r>
          </w:p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ОГРН 1027739216757</w:t>
            </w:r>
            <w:r>
              <w:rPr>
                <w:rFonts w:ascii="RF Dewi" w:hAnsi="RF Dewi"/>
                <w:color w:val="202020"/>
                <w:spacing w:val="2"/>
              </w:rPr>
              <w:br/>
              <w:t>ИНН 7726030449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lastRenderedPageBreak/>
              <w:t>32.8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Правила ведения реестра владельцев инвестиционных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паев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паевых инвестиционных фондов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Ведение реестра владельцев инвестиционных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паев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паевых инвестиционных фондов не осуществляется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Образцы форм распоряжений, на основании которых осуществляется проведение операций в реестре владельцев инвестиционных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паев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паевых инвестиционных фондов в соответствии с правилами ведения реестра владельцев инвестиционных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паев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паевых инвестиционных фондов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Ведение реестра владельцев инвестиционных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паев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паевых инвестиционных фондов не осуществляется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Информация о реестрах владельцев инвестиционных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паев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паевых инвестиционных фондов, ведение которых осуществляет специализированный депозитарий, с указанием по каждому реестру владельцев инвестиционных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паев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паевых инвестиционных фондов:</w:t>
            </w:r>
            <w:r>
              <w:rPr>
                <w:rFonts w:ascii="RF Dewi" w:hAnsi="RF Dewi"/>
                <w:color w:val="202020"/>
                <w:spacing w:val="2"/>
              </w:rPr>
              <w:br/>
              <w:t xml:space="preserve">полного и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сокращенного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(при наличии) фирменного наименования, ОГРН и ИНН управляющей компании паевого инвестиционного фонда, с которой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заключен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договор на ведение реестра владельцев инвестиционных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паев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паевых инвестиционных фондов;</w:t>
            </w:r>
            <w:r>
              <w:rPr>
                <w:rFonts w:ascii="RF Dewi" w:hAnsi="RF Dewi"/>
                <w:color w:val="202020"/>
                <w:spacing w:val="2"/>
              </w:rPr>
              <w:br/>
              <w:t xml:space="preserve">даты заключения договора на ведение реестра владельцев инвестиционных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паев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паевых инвестиционных фондов с управляющей компанией паевого инвестиционного фонда;</w:t>
            </w:r>
            <w:r>
              <w:rPr>
                <w:rFonts w:ascii="RF Dewi" w:hAnsi="RF Dewi"/>
                <w:color w:val="202020"/>
                <w:spacing w:val="2"/>
              </w:rPr>
              <w:br/>
              <w:t xml:space="preserve">даты акта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приема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-передачи реестра владельцев инвестиционных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паев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паевых инвестиционных фондов (в </w:t>
            </w:r>
            <w:r>
              <w:rPr>
                <w:rFonts w:ascii="RF Dewi" w:hAnsi="RF Dewi"/>
                <w:color w:val="202020"/>
                <w:spacing w:val="2"/>
              </w:rPr>
              <w:lastRenderedPageBreak/>
              <w:t xml:space="preserve">случае прекращения договора на ведение реестра владельцев инвестиционных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паев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паевых инвестиционных фондов);</w:t>
            </w:r>
            <w:r>
              <w:rPr>
                <w:rFonts w:ascii="RF Dewi" w:hAnsi="RF Dewi"/>
                <w:color w:val="202020"/>
                <w:spacing w:val="2"/>
              </w:rPr>
              <w:br/>
              <w:t>полного названия паевого инвестиционного фонда;</w:t>
            </w:r>
            <w:r>
              <w:rPr>
                <w:rFonts w:ascii="RF Dewi" w:hAnsi="RF Dewi"/>
                <w:color w:val="202020"/>
                <w:spacing w:val="2"/>
              </w:rPr>
              <w:br/>
              <w:t>номера правил доверительного управления паевым инвестиционным фондом, присвоенного при внесении сведений об указанных правилах в реестр паевых инвестиционных фондов, и даты регистрации правил доверительного управления паевым инвестиционным фондом (даты внесения паевого инвестиционного фонда в реестр паевых инвестиционных фондов)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lastRenderedPageBreak/>
              <w:t xml:space="preserve">Ведение реестра владельцев инвестиционных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паев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паевых инвестиционных фондов не осуществляется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Внутренний документ (правила) центрального депозитария по регистрации выпусков (дополнительных выпусков) эмиссионных ценных бумаг в соответствии с пунктом 1 статьи 20 Федерального закона "О рынке ценных бумаг"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Нет в наличии, деятельность не осуществляется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 тарифах на оказываемые депозитарием услуги (тарифной политике депозитария)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32" w:history="1"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Тарифы комиссионного вознаграждения АКБ «</w:t>
              </w:r>
              <w:proofErr w:type="spellStart"/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Трансстройбанк</w:t>
              </w:r>
              <w:proofErr w:type="spellEnd"/>
              <w:r>
                <w:rPr>
                  <w:rStyle w:val="a4"/>
                  <w:rFonts w:ascii="RF Dewi" w:hAnsi="RF Dewi"/>
                  <w:color w:val="00345E"/>
                  <w:spacing w:val="2"/>
                </w:rPr>
                <w:t>» (АО) за депозитарные операции</w:t>
              </w:r>
            </w:hyperlink>
            <w:r>
              <w:rPr>
                <w:rFonts w:ascii="RF Dewi" w:hAnsi="RF Dewi"/>
                <w:color w:val="202020"/>
                <w:spacing w:val="2"/>
              </w:rPr>
              <w:br/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Информация о вознаграждении за оказываемые специализированным депозитарием услуги по ведению реестра владельцев инвестиционных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паев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паевых инвестиционных фондов (тарифная политика специализированного депозитария)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Ведение реестра владельцев инвестиционных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паев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паевых инвестиционных фондов не осуществляется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Регистратором дополнительно раскрывается: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Информация о реестрах владельцев ценных бумаг, в том числе реестрах владельцев инвестиционных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паев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паевых инвестиционных фондов, ипотечных сертификатов участия, реестрах акций непубличного акционерного общества в виде цифровых финансовых активов (далее при совместном упоминании – Реестр), </w:t>
            </w:r>
            <w:r>
              <w:rPr>
                <w:rFonts w:ascii="RF Dewi" w:hAnsi="RF Dewi"/>
                <w:color w:val="202020"/>
                <w:spacing w:val="2"/>
              </w:rPr>
              <w:lastRenderedPageBreak/>
              <w:t>ведение которых осуществляет держатель реестра, с указанием по каждому Реестру:</w:t>
            </w:r>
            <w:r>
              <w:rPr>
                <w:rFonts w:ascii="RF Dewi" w:hAnsi="RF Dewi"/>
                <w:color w:val="202020"/>
                <w:spacing w:val="2"/>
              </w:rPr>
              <w:br/>
              <w:t xml:space="preserve">полного и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сокращенного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(при наличии) фирменного наименования, ОГРН и ИНН эмитента (лица, обязанного по ценным бумагам), с которым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заключен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договор на ведение Реестра;</w:t>
            </w:r>
            <w:r>
              <w:rPr>
                <w:rFonts w:ascii="RF Dewi" w:hAnsi="RF Dewi"/>
                <w:color w:val="202020"/>
                <w:spacing w:val="2"/>
              </w:rPr>
              <w:br/>
              <w:t>даты заключения договора на ведение Реестра;</w:t>
            </w:r>
            <w:r>
              <w:rPr>
                <w:rFonts w:ascii="RF Dewi" w:hAnsi="RF Dewi"/>
                <w:color w:val="202020"/>
                <w:spacing w:val="2"/>
              </w:rPr>
              <w:br/>
              <w:t xml:space="preserve">даты акта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приема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>-передачи Реестра (в случае прекращения договора на ведение Реестра);</w:t>
            </w:r>
            <w:r>
              <w:rPr>
                <w:rFonts w:ascii="RF Dewi" w:hAnsi="RF Dewi"/>
                <w:color w:val="202020"/>
                <w:spacing w:val="2"/>
              </w:rPr>
              <w:br/>
              <w:t xml:space="preserve">полного названия паевого инвестиционного фонда, номера правил доверительного управления паевым инвестиционным фондом, присвоенного при внесении сведений об указанных правилах в реестр паевых инвестиционных фондов, и даты регистрации правил доверительного управления паевым инвестиционным фондом (даты внесения паевого инвестиционного фонда в реестр паевых инвестиционных фондов) (в случае ведения реестра владельцев инвестиционных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паев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паевых инвестиционных фондов);</w:t>
            </w:r>
            <w:r>
              <w:rPr>
                <w:rFonts w:ascii="RF Dewi" w:hAnsi="RF Dewi"/>
                <w:color w:val="202020"/>
                <w:spacing w:val="2"/>
              </w:rPr>
              <w:br/>
              <w:t>номера и даты регистрации правил доверительного управления ипотечным покрытием (в случае ведения реестра владельцев ипотечных сертификатов участия)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lastRenderedPageBreak/>
              <w:t>Деятельность по ведению реестра не осуществляется</w:t>
            </w:r>
            <w:r>
              <w:rPr>
                <w:rFonts w:ascii="RF Dewi" w:hAnsi="RF Dewi"/>
                <w:color w:val="202020"/>
                <w:spacing w:val="2"/>
              </w:rPr>
              <w:br/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Информация об эмитентах (лицах, обязанных по ценным бумагам), Реестры которых переведены регистратором в режим хранения и (или) приняты регистратором на хранение, с 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указанием:</w:t>
            </w:r>
            <w:r>
              <w:rPr>
                <w:rFonts w:ascii="RF Dewi" w:hAnsi="RF Dewi"/>
                <w:color w:val="202020"/>
                <w:spacing w:val="2"/>
              </w:rPr>
              <w:br/>
              <w:t>полного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и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сокращенного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(при наличии) фирменного наименования, ИНН и ОГРН эмитента (лица, обязанного по ценным бумагам);</w:t>
            </w:r>
            <w:r>
              <w:rPr>
                <w:rFonts w:ascii="RF Dewi" w:hAnsi="RF Dewi"/>
                <w:color w:val="202020"/>
                <w:spacing w:val="2"/>
              </w:rPr>
              <w:br/>
              <w:t>даты и основания перевода Реестра в режим хранения и (или) принятия Реестра на 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Деятельность по ведению реестра не осуществляется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Информация о трансфер-агентах с указанием их полного и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сокращенного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(при наличии) фирменного наименования, ОГРН и ИНН, адреса </w:t>
            </w:r>
            <w:r>
              <w:rPr>
                <w:rFonts w:ascii="RF Dewi" w:hAnsi="RF Dewi"/>
                <w:color w:val="202020"/>
                <w:spacing w:val="2"/>
              </w:rPr>
              <w:lastRenderedPageBreak/>
              <w:t>трансфер-агента в пределах места нахождения трансфер-агента, указанного в ЕГРЮЛ, номера телефона, факса (при наличии факса) трансфер-агента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lastRenderedPageBreak/>
              <w:t>Деятельность по ведению реестра не осуществляется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Информация об эмитентах (управляющих компаниях паевых инвестиционных фондов, управляющих ипотечным покрытием), осуществляющих по договору на ведение Реестра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прием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и передачу документов, предусмотренных пунктом 4 статьи 8.1 Федерального закона "О рынке ценных бумаг", с указанием полного и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сокращенного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(при наличии) фирменного наименования, ОГРН и ИНН таких эмитентов (управляющих компаний паевых инвестиционных фондов, управляющих ипотечным покрытием), их адреса в пределах их места нахождения, указанного в ЕГРЮЛ, номера их телефона и факса (при наличии факса)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Деятельность по ведению реестра не осуществляется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Правила ведения реестра владельцев эмиссионных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Деятельность по ведению реестра не осуществляется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Правила ведения реестра владельцев инвестиционных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паев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паевых инвестиционных фондов, ипотечных сертификатов участия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Деятельность по ведению реестра не осуществляется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 вознаграждении регистратора за составление списка лиц, осуществляющих права по ценным бумагам, а также о плате, взимаемой регистратором с зарегистрированных лиц за проведение операций по лицевым счетам и за предоставление информации из Реестра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Деятельность по ведению реестра не осуществляется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Образцы форм распоряжений, на основании которых регистратор проводит операции в реестре владельцев эмиссионных ценных бумаг в соответствии с правилами ведения реестра владельцев эмиссионных ценных бумаг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Деятельность по ведению реестра не осуществляется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lastRenderedPageBreak/>
              <w:t>33.9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Образцы форм распоряжений, на основании которых регистратор проводит операции в реестре владельцев инвестиционных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паев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паевых инвестиционных фондов, ипотечных сертификатов участия в соответствии с правилами ведения реестра владельцев эмиссионных ценных бумаг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Деятельность по ведению реестра не осуществляется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Сведения о несоответствии регистратора требованиям, установленным частью 1 статьи 2.1 Федерального закона от 21 июля 2014 года N 213-ФЗ, с указанием требований, которым регистратор не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Деятельность по ведению реестра не осуществляется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 прекращении договора на ведение Реестра с указанием:</w:t>
            </w:r>
            <w:r>
              <w:rPr>
                <w:rFonts w:ascii="RF Dewi" w:hAnsi="RF Dewi"/>
                <w:color w:val="202020"/>
                <w:spacing w:val="2"/>
              </w:rPr>
              <w:br/>
              <w:t xml:space="preserve">полного и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сокращенного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(при наличии) фирменного наименования, ОГРН и ИНН эмитента (лица, обязанного по ценным бумагам), с которым был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заключен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договор на ведение Реестра;</w:t>
            </w:r>
            <w:r>
              <w:rPr>
                <w:rFonts w:ascii="RF Dewi" w:hAnsi="RF Dewi"/>
                <w:color w:val="202020"/>
                <w:spacing w:val="2"/>
              </w:rPr>
              <w:br/>
              <w:t>даты прекращения договора на ведение Реестра;</w:t>
            </w:r>
            <w:r>
              <w:rPr>
                <w:rFonts w:ascii="RF Dewi" w:hAnsi="RF Dewi"/>
                <w:color w:val="202020"/>
                <w:spacing w:val="2"/>
              </w:rPr>
              <w:br/>
              <w:t xml:space="preserve">номера правил доверительного управления паевым инвестиционным фондом, присвоенного при внесении сведений об указанных правилах в реестр паевых инвестиционных фондов, и даты регистрации правил доверительного управления паевым инвестиционным фондом (даты внесения паевого инвестиционного фонда в реестр паевых инвестиционных фондов) (в случае ведения реестра владельцев инвестиционных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паев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паевых инвестиционных фондов);</w:t>
            </w:r>
            <w:r>
              <w:rPr>
                <w:rFonts w:ascii="RF Dewi" w:hAnsi="RF Dewi"/>
                <w:color w:val="202020"/>
                <w:spacing w:val="2"/>
              </w:rPr>
              <w:br/>
              <w:t>номера и даты регистрации правил доверительного управления ипотечным покрытием (в случае ведения реестра владельцев ипотечных сертификатов участия)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Деятельность по ведению реестра не осуществляется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Внутренний документ (правила) регистратора по регистрации выпусков (дополнительных выпусков) эмиссионных ценных бумаг в соответствии с пунктом 1 статьи 20 </w:t>
            </w:r>
            <w:r>
              <w:rPr>
                <w:rFonts w:ascii="RF Dewi" w:hAnsi="RF Dewi"/>
                <w:color w:val="202020"/>
                <w:spacing w:val="2"/>
              </w:rPr>
              <w:lastRenderedPageBreak/>
              <w:t>Федерального закона "О рынке ценных бумаг"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lastRenderedPageBreak/>
              <w:t>Деятельность по ведению реестра не осуществляется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Профессиональным участником, осуществляющим деятельность по инвестиционному консультированию (далее – инвестиционный советник), дополнительно раскрывается: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 судебных спорах, в которых инвестиционный советник выступает в качестве ответчика, по искам, связанным с осуществлением инвестиционным советником деятельности по инвестиционному консультированию с использованием программ для электронных вычислительных машин, посредством которых инвестиционным советником осуществлялось (осуществляется) предоставление индивидуальных инвестиционных рекомендаций (далее - программа) (при наличии), с указанием:</w:t>
            </w:r>
            <w:r>
              <w:rPr>
                <w:rFonts w:ascii="RF Dewi" w:hAnsi="RF Dewi"/>
                <w:color w:val="202020"/>
                <w:spacing w:val="2"/>
              </w:rPr>
              <w:br/>
              <w:t>наименования суда, рассматривающего спор;</w:t>
            </w:r>
            <w:r>
              <w:rPr>
                <w:rFonts w:ascii="RF Dewi" w:hAnsi="RF Dewi"/>
                <w:color w:val="202020"/>
                <w:spacing w:val="2"/>
              </w:rPr>
              <w:br/>
              <w:t>номера дела;</w:t>
            </w:r>
            <w:r>
              <w:rPr>
                <w:rFonts w:ascii="RF Dewi" w:hAnsi="RF Dewi"/>
                <w:color w:val="202020"/>
                <w:spacing w:val="2"/>
              </w:rPr>
              <w:br/>
              <w:t>даты определения о принятии искового заявления (апелляционной жалобы, кассационной жалобы, заявления о пересмотре судебного акта по новым или вновь открывшимся обстоятельствам) к производству суда, о передаче надзорной жалобы, представления вместе с делом для рассмотрения в судебном заседании Президиума Верховного Суда Российской Федерации;</w:t>
            </w:r>
            <w:r>
              <w:rPr>
                <w:rFonts w:ascii="RF Dewi" w:hAnsi="RF Dewi"/>
                <w:color w:val="202020"/>
                <w:spacing w:val="2"/>
              </w:rPr>
              <w:br/>
              <w:t>даты судебного акта, которым заканчивается производство по делу в суде;</w:t>
            </w:r>
            <w:r>
              <w:rPr>
                <w:rFonts w:ascii="RF Dewi" w:hAnsi="RF Dewi"/>
                <w:color w:val="202020"/>
                <w:spacing w:val="2"/>
              </w:rPr>
              <w:br/>
              <w:t>размера искового требования.</w:t>
            </w:r>
            <w:r>
              <w:rPr>
                <w:rFonts w:ascii="RF Dewi" w:hAnsi="RF Dewi"/>
                <w:color w:val="202020"/>
                <w:spacing w:val="2"/>
              </w:rPr>
              <w:br/>
              <w:t>Информация раскрывается в части, не раскрытой по строке 26 настоящего приложения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Деятельность по инвестиционному консультированию не осуществляется</w:t>
            </w:r>
          </w:p>
        </w:tc>
      </w:tr>
      <w:tr w:rsidR="00604400" w:rsidTr="00604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об используемых инвестиционным советником в своей деятельности по инвестиционному консультированию программах с указанием:</w:t>
            </w:r>
            <w:r>
              <w:rPr>
                <w:rFonts w:ascii="RF Dewi" w:hAnsi="RF Dewi"/>
                <w:color w:val="202020"/>
                <w:spacing w:val="2"/>
              </w:rPr>
              <w:br/>
              <w:t>наименования программы;</w:t>
            </w:r>
            <w:r>
              <w:rPr>
                <w:rFonts w:ascii="RF Dewi" w:hAnsi="RF Dewi"/>
                <w:color w:val="202020"/>
                <w:spacing w:val="2"/>
              </w:rPr>
              <w:br/>
              <w:t>наличия аккредитации программы;</w:t>
            </w:r>
            <w:r>
              <w:rPr>
                <w:rFonts w:ascii="RF Dewi" w:hAnsi="RF Dewi"/>
                <w:color w:val="202020"/>
                <w:spacing w:val="2"/>
              </w:rPr>
              <w:br/>
              <w:t>даты аккредитации программы;</w:t>
            </w:r>
            <w:r>
              <w:rPr>
                <w:rFonts w:ascii="RF Dewi" w:hAnsi="RF Dewi"/>
                <w:color w:val="202020"/>
                <w:spacing w:val="2"/>
              </w:rPr>
              <w:br/>
              <w:t xml:space="preserve">полного и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сокращенного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 xml:space="preserve"> (при наличии) </w:t>
            </w:r>
            <w:r>
              <w:rPr>
                <w:rFonts w:ascii="RF Dewi" w:hAnsi="RF Dewi"/>
                <w:color w:val="202020"/>
                <w:spacing w:val="2"/>
              </w:rPr>
              <w:lastRenderedPageBreak/>
              <w:t>наименования и адреса сайта в сети "Интернет" организации, осуществившей аккредитацию;</w:t>
            </w:r>
            <w:r>
              <w:rPr>
                <w:rFonts w:ascii="RF Dewi" w:hAnsi="RF Dewi"/>
                <w:color w:val="202020"/>
                <w:spacing w:val="2"/>
              </w:rPr>
              <w:br/>
              <w:t>описания рисков, связанных с использованием программы, или ссылки на страницу сайта в сети "Интернет", содержащую описание указанных рисков;</w:t>
            </w:r>
            <w:r>
              <w:rPr>
                <w:rFonts w:ascii="RF Dewi" w:hAnsi="RF Dewi"/>
                <w:color w:val="202020"/>
                <w:spacing w:val="2"/>
              </w:rPr>
              <w:br/>
              <w:t>информации о вознаграждении инвестиционного советника, связанном с использованием программы (в случае взимания указанного вознаграждения)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604400" w:rsidRDefault="00604400">
            <w:pPr>
              <w:pStyle w:val="cell-layout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lastRenderedPageBreak/>
              <w:t>Деятельность по инвестиционному консультированию не осуществляется</w:t>
            </w:r>
          </w:p>
        </w:tc>
      </w:tr>
    </w:tbl>
    <w:p w:rsidR="00604400" w:rsidRDefault="00604400" w:rsidP="00604400">
      <w:pPr>
        <w:pStyle w:val="a3"/>
        <w:shd w:val="clear" w:color="auto" w:fill="F9FBFB"/>
        <w:spacing w:before="150" w:beforeAutospacing="0" w:after="150" w:afterAutospacing="0"/>
        <w:rPr>
          <w:rFonts w:ascii="RF Dewi" w:hAnsi="RF Dewi"/>
          <w:color w:val="202020"/>
          <w:spacing w:val="2"/>
        </w:rPr>
      </w:pPr>
      <w:r>
        <w:rPr>
          <w:rFonts w:ascii="RF Dewi" w:hAnsi="RF Dewi"/>
          <w:color w:val="202020"/>
          <w:spacing w:val="2"/>
        </w:rPr>
        <w:t xml:space="preserve">Если явно </w:t>
      </w:r>
      <w:proofErr w:type="gramStart"/>
      <w:r>
        <w:rPr>
          <w:rFonts w:ascii="RF Dewi" w:hAnsi="RF Dewi"/>
          <w:color w:val="202020"/>
          <w:spacing w:val="2"/>
        </w:rPr>
        <w:t>не указано</w:t>
      </w:r>
      <w:proofErr w:type="gramEnd"/>
      <w:r>
        <w:rPr>
          <w:rFonts w:ascii="RF Dewi" w:hAnsi="RF Dewi"/>
          <w:color w:val="202020"/>
          <w:spacing w:val="2"/>
        </w:rPr>
        <w:t xml:space="preserve"> иное, период раскрываемости указанной информации отсчитывается от даты </w:t>
      </w:r>
      <w:proofErr w:type="spellStart"/>
      <w:r>
        <w:rPr>
          <w:rFonts w:ascii="RF Dewi" w:hAnsi="RF Dewi"/>
          <w:color w:val="202020"/>
          <w:spacing w:val="2"/>
        </w:rPr>
        <w:t>ее</w:t>
      </w:r>
      <w:proofErr w:type="spellEnd"/>
      <w:r>
        <w:rPr>
          <w:rFonts w:ascii="RF Dewi" w:hAnsi="RF Dewi"/>
          <w:color w:val="202020"/>
          <w:spacing w:val="2"/>
        </w:rPr>
        <w:t xml:space="preserve"> раскрытия до даты, предшествующей дате внесения следующих изменений.</w:t>
      </w:r>
    </w:p>
    <w:p w:rsidR="00810F27" w:rsidRPr="00810F27" w:rsidRDefault="00810F27" w:rsidP="00810F27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810F27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 </w:t>
      </w:r>
    </w:p>
    <w:p w:rsidR="00810F27" w:rsidRPr="00810F27" w:rsidRDefault="00810F27" w:rsidP="00810F27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810F27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 xml:space="preserve">Данные от </w:t>
      </w:r>
      <w:r w:rsidR="00604400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01.04</w:t>
      </w:r>
      <w:r w:rsidRPr="00810F27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.2024 года</w:t>
      </w:r>
      <w:bookmarkStart w:id="0" w:name="_GoBack"/>
      <w:bookmarkEnd w:id="0"/>
    </w:p>
    <w:p w:rsidR="00D314F9" w:rsidRDefault="00D314F9"/>
    <w:sectPr w:rsidR="00D314F9" w:rsidSect="00810F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F Dewi">
    <w:panose1 w:val="00000500000000000000"/>
    <w:charset w:val="CC"/>
    <w:family w:val="auto"/>
    <w:pitch w:val="variable"/>
    <w:sig w:usb0="00000207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27"/>
    <w:rsid w:val="00604400"/>
    <w:rsid w:val="00810F27"/>
    <w:rsid w:val="00D3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34350-ED00-4D8C-96A5-2E7169C5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044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0F2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6044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ell-layout">
    <w:name w:val="cell-layout"/>
    <w:basedOn w:val="a"/>
    <w:rsid w:val="0060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nsstroybank.ru/2024/p12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1%81%20%D0%BE%D1%82%D0%BA%D1%80%D1%8B%D1%82%D0%B8%D0%B5%D0%BC%20%D0%B8%20%D0%B2%D0%B5%D0%B4%D0%B5%D0%BD%D0%B8%D0%B5%D0%BC%20%D0%98%D0%98%D0%A1%20(%D0%B4%D0%B5%D0%B9%D1%81%D1%82%D0%B2%D1%83%D0%B5%D1%82%20%D1%81%2005.03.2024).doc" TargetMode="External"/><Relationship Id="rId18" Type="http://schemas.openxmlformats.org/officeDocument/2006/relationships/hyperlink" Target="https://transstroybank.ru/2024/p14/%D0%9F%D1%80%D0%B0%D0%B2%D0%B8%D0%BB%D0%B0%20%D0%94%D0%91%D0%9E%20%D0%B4%D0%BB%D1%8F%20%D0%AE%D0%9B%20%D0%B8%20%D0%98%D0%9F%20%D1%81%2013.09.2023.doc" TargetMode="External"/><Relationship Id="rId26" Type="http://schemas.openxmlformats.org/officeDocument/2006/relationships/hyperlink" Target="http://www.tsbnk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ransstroybank.ru/o-banke/finansovaya-otchetnost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tsbank@transstroibank.ru" TargetMode="External"/><Relationship Id="rId12" Type="http://schemas.openxmlformats.org/officeDocument/2006/relationships/hyperlink" Target="https://transstroybank.ru/2024/p12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E%D1%80%D0%B8%D0%B4%D0%B8%D1%87%D0%B5%D1%81%D0%BA%D0%B8%D1%85%20%D0%BB%D0%B8%D1%86%20(%D0%B4%D0%B5%D0%B9%D1%81%D1%82%D0%B2%D1%83%D0%B5%D1%82%20%D1%81%2005.03.2024).doc" TargetMode="External"/><Relationship Id="rId17" Type="http://schemas.openxmlformats.org/officeDocument/2006/relationships/hyperlink" Target="https://transstroybank.ru/2024/p14/%D0%9F%D1%80%D0%B0%D0%B2%D0%B8%D0%BB%D0%B0%20%D0%94%D0%91%D0%9E%20%D0%A4%D0%9B%20_%20%D0%92%D0%B5%D1%80%D1%81%D0%B8%D1%8F%206.24.doc" TargetMode="External"/><Relationship Id="rId25" Type="http://schemas.openxmlformats.org/officeDocument/2006/relationships/hyperlink" Target="https://transstroybank.ru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ransstroybank.ru/2024/p13/%D0%A3%D1%81%D0%BB%D0%BE%D0%B2%D0%B8%D1%8F%20%D0%BF%D1%80%D0%B5%D0%B4%D0%BE%D1%81%D1%82%D0%B0%D0%B2%D0%BB%D0%B5%D0%BD%D0%B8%D1%8F%20%D0%90%D0%9A%D0%91%20%C2%AB%D0%A2%D1%80%D0%B0%D0%BD%D1%81%D1%81%D1%82%D1%80%D0%BE%D0%B9%D0%B1%D0%B0%D0%BD%D0%BA%C2%BB%20(%D0%90%D0%9E)%20%D0%B1%D1%80%D0%BE%D0%BA%D0%B5%D1%80%D1%81%D0%BA%D0%B8%D1%85%20%D1%83%D1%81%D0%BB%D1%83%D0%B3%20(%D0%98%D0%98%D0%A1)%20(%D0%B4%D0%B5%D0%B9%D1%81%D1%82%D0%B2%D1%83%D1%8E%D1%82%20%D1%81%2005.03.2024%20).docx" TargetMode="External"/><Relationship Id="rId20" Type="http://schemas.openxmlformats.org/officeDocument/2006/relationships/hyperlink" Target="https://transstroybank.ru/o-banke/finansovaya-otchetnost/" TargetMode="External"/><Relationship Id="rId29" Type="http://schemas.openxmlformats.org/officeDocument/2006/relationships/hyperlink" Target="https://transstroybank.ru/2024/p32/%D0%A3%D1%81%D0%BB%D0%BE%D0%B2%D0%B8%D1%8F%20%D0%BE%D1%81%D1%83%D1%89%D0%B5%D1%81%D1%82%D0%B2%D0%BB%D0%B5%D0%BD%D0%B8%D1%8F%20%D0%B4%D0%B5%D0%BF%D0%BE%D0%B7%D0%B8%D1%82%D0%B0%D1%80%D0%BD%D0%BE%D0%B9%20%D0%B4%D0%B5%D1%8F%D1%82%D0%B5%D0%BB%D1%8C%D0%BD%D0%BE%D1%81%D1%82%D0%B8%20%D0%90%D0%9A%D0%91%20%C2%AB%D0%A2%D1%80%D0%B0%D0%BD%D1%81%D1%81%D1%82%D1%80%D0%BE%D0%B9%D0%B1%D0%B0%D0%BD%D0%BA%C2%BB%20(%D0%90%D0%9E)%20(%D0%B4%D0%B5%D0%B9%D1%81%D1%82%D0%B2%D1%83%D1%8E%D1%82%20%D1%81%2003.11.2023)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sbnk.ru/" TargetMode="External"/><Relationship Id="rId11" Type="http://schemas.openxmlformats.org/officeDocument/2006/relationships/hyperlink" Target="https://transstroybank.ru/2024/p12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4%D0%B8%D0%B7%D0%B8%D1%87%D0%B5%D1%81%D0%BA%D0%B8%D1%85%20%D0%BB%D0%B8%D1%86%20(%D0%B4%D0%B5%D0%B9%D1%81%D1%82%D0%B2%D1%83%D0%B5%D1%82%20%D1%81%2005.03.2024).doc" TargetMode="External"/><Relationship Id="rId24" Type="http://schemas.openxmlformats.org/officeDocument/2006/relationships/hyperlink" Target="http://www.transstroibank.ru/" TargetMode="External"/><Relationship Id="rId32" Type="http://schemas.openxmlformats.org/officeDocument/2006/relationships/hyperlink" Target="https://transstroybank.ru/2024/p32/%D0%A2%D0%B0%D1%80%D0%B8%D1%84%D1%8B%20%D0%BA%D0%BE%D0%BC%D0%B8%D1%81%D1%81%D0%B8%D0%BE%D0%BD%D0%BD%D0%BE%D0%B3%D0%BE%20%D0%B2%D0%BE%D0%B7%D0%BD%D0%B0%D0%B3%D1%80%D0%B0%D0%B6%D0%B4%D0%B5%D0%BD%D0%B8%D1%8F%20%D0%90%D0%9A%D0%91%20%C2%AB%D0%A2%D1%80%D0%B0%D0%BD%D1%81%D1%81%D1%82%D1%80%D0%BE%D0%B9%D0%B1%D0%B0%D0%BD%D0%BA%C2%BB%20(%D0%90%D0%9E)%20%D0%B7%D0%B0%20%D0%B4%D0%B5%D0%BF%D0%BE%D0%B7%D0%B8%D1%82%D0%B0%D1%80%D0%BD%D1%8B%D0%B5%20%D0%BE%D0%BF%D0%B5%D1%80%D0%B0%D1%86%D0%B8%D0%B8%20(%D0%B4%D0%B5%D0%B9%D1%81%D1%82%D0%B2%D1%83%D1%8E%D1%82%20%D1%81%2003.07.2019).doc" TargetMode="External"/><Relationship Id="rId5" Type="http://schemas.openxmlformats.org/officeDocument/2006/relationships/hyperlink" Target="https://transstroybank.ru/" TargetMode="External"/><Relationship Id="rId15" Type="http://schemas.openxmlformats.org/officeDocument/2006/relationships/hyperlink" Target="https://transstroybank.ru/2024/p13/%D0%A3%D1%81%D0%BB%D0%BE%D0%B2%D0%B8%D1%8F%20%D0%BF%D1%80%D0%B5%D0%B4%D0%BE%D1%81%D1%82%D0%B0%D0%B2%D0%BB%D0%B5%D0%BD%D0%B8%D1%8F%20%D0%90%D0%9A%D0%91%20%C2%AB%D0%A2%D1%80%D0%B0%D0%BD%D1%81%D1%81%D1%82%D1%80%D0%BE%D0%B9%D0%B1%D0%B0%D0%BD%D0%BA%C2%BB%20(%D0%90%D0%9E)%20%D0%B1%D1%80%D0%BE%D0%BA%D0%B5%D1%80%D1%81%D0%BA%D0%B8%D1%85%20%D1%83%D1%81%D0%BB%D1%83%D0%B3%20(%D0%B4%D0%B5%D0%B9%D1%81%D1%82%D0%B2%D1%83%D1%8E%D1%82%20%D1%81%2005.03.2024%20).doc" TargetMode="External"/><Relationship Id="rId23" Type="http://schemas.openxmlformats.org/officeDocument/2006/relationships/hyperlink" Target="https://transstroybank.ru/o-banke/finansovaya-otchetnost/" TargetMode="External"/><Relationship Id="rId28" Type="http://schemas.openxmlformats.org/officeDocument/2006/relationships/hyperlink" Target="mailto:tsbank@transstroibank.ru" TargetMode="External"/><Relationship Id="rId10" Type="http://schemas.openxmlformats.org/officeDocument/2006/relationships/hyperlink" Target="https://transstroybank.ru/2024/p12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%20(%D0%B4%D0%B5%D0%B9%D1%81%D1%82%D0%B2%D1%83%D0%B5%D1%82%20%D1%81%2003.11.2023).doc" TargetMode="External"/><Relationship Id="rId19" Type="http://schemas.openxmlformats.org/officeDocument/2006/relationships/hyperlink" Target="https://transstroybank.ru/2024/p15/%D0%A0%D0%B5%D0%B3%D0%BB%D0%B0%D0%BC%D0%B5%D0%BD%D1%82_%D0%BF%D1%80%D0%B8%D0%B7%D0%BD%D0%B0%D0%BD%D0%B8%D1%8F_%D0%BB%D0%B8%D1%86_%D0%BA%D0%B2%D0%B0%D0%BB%D0%B8%D1%84%D0%B8%D1%86%D0%B8%D1%80%D0%BE%D0%B2%D0%B0%D0%BD%D0%BD%D1%8B%D0%BC%D0%B8_%D0%B8%D0%BD%D0%B2%D0%B5%D1%81%D1%82%D0%BE%D1%80%D0%B0%D0%BC%D0%B8_3.21_(%D0%B2%D1%81%D1%82%D1%83%D0%BF%D0%B0%D0%B5%D1%82_%D0%B2_%D1%81%D0%B8%D0%BB%D1%83_%D1%81_07.11.2021).docx" TargetMode="External"/><Relationship Id="rId31" Type="http://schemas.openxmlformats.org/officeDocument/2006/relationships/hyperlink" Target="https://transstroybank.ru/2024/p32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%20(%D0%B4%D0%B5%D0%B9%D1%81%D1%82%D0%B2%D1%83%D1%8E%D1%82%20%D1%81%2003.11.2023).doc" TargetMode="External"/><Relationship Id="rId4" Type="http://schemas.openxmlformats.org/officeDocument/2006/relationships/hyperlink" Target="http://www.transstroibank.ru/" TargetMode="External"/><Relationship Id="rId9" Type="http://schemas.openxmlformats.org/officeDocument/2006/relationships/hyperlink" Target="https://transstroybank.ru/2024/p12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%20(%D0%B4%D0%B5%D0%B9%D1%81%D1%82%D0%B2%D1%83%D0%B5%D1%82%20%D1%81%2003.11.2023).doc" TargetMode="External"/><Relationship Id="rId14" Type="http://schemas.openxmlformats.org/officeDocument/2006/relationships/hyperlink" Target="https://transstroybank.ru/2024/p13/%D0%A3%D1%81%D0%BB%D0%BE%D0%B2%D0%B8%D1%8F%20%D0%BE%D1%81%D1%83%D1%89%D0%B5%D1%81%D1%82%D0%B2%D0%BB%D0%B5%D0%BD%D0%B8%D1%8F%20%D0%B4%D0%B5%D0%BF%D0%BE%D0%B7%D0%B8%D1%82%D0%B0%D1%80%D0%BD%D0%BE%D0%B9%20%D0%B4%D0%B5%D1%8F%D1%82%D0%B5%D0%BB%D1%8C%D0%BD%D0%BE%D1%81%D1%82%D0%B8%20%D0%90%D0%9A%D0%91%20%C2%AB%D0%A2%D1%80%D0%B0%D0%BD%D1%81%D1%81%D1%82%D1%80%D0%BE%D0%B9%D0%B1%D0%B0%D0%BD%D0%BA%C2%BB%20(%D0%90%D0%9E)%20(%D0%B4%D0%B5%D0%B9%D1%81%D1%82%D0%B2%D1%83%D1%8E%D1%82%20%D1%81%2003.11.2023).docx" TargetMode="External"/><Relationship Id="rId22" Type="http://schemas.openxmlformats.org/officeDocument/2006/relationships/hyperlink" Target="https://transstroybank.ru/o-banke/finansovaya-otchetnost/" TargetMode="External"/><Relationship Id="rId27" Type="http://schemas.openxmlformats.org/officeDocument/2006/relationships/hyperlink" Target="tel:+7%20(495)%20786-37-73" TargetMode="External"/><Relationship Id="rId30" Type="http://schemas.openxmlformats.org/officeDocument/2006/relationships/hyperlink" Target="https://transstroybank.ru/2024/p32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%20(%D0%B4%D0%B5%D0%B9%D1%81%D1%82%D0%B2%D1%83%D1%8E%D1%82%20%D1%81%2003.11.2023).doc" TargetMode="External"/><Relationship Id="rId8" Type="http://schemas.openxmlformats.org/officeDocument/2006/relationships/hyperlink" Target="https://naufor.ru/tree.asp?n=16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8408</Words>
  <Characters>47931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Мельниченко</dc:creator>
  <cp:keywords/>
  <dc:description/>
  <cp:lastModifiedBy>1</cp:lastModifiedBy>
  <cp:revision>2</cp:revision>
  <dcterms:created xsi:type="dcterms:W3CDTF">2024-06-05T14:29:00Z</dcterms:created>
  <dcterms:modified xsi:type="dcterms:W3CDTF">2024-06-05T14:29:00Z</dcterms:modified>
</cp:coreProperties>
</file>